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15D0E" w14:textId="1F37DDED" w:rsidR="00F17C33" w:rsidRPr="00513190" w:rsidRDefault="00F17C33" w:rsidP="006037CF">
      <w:pPr>
        <w:pStyle w:val="Ttulo1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513190">
        <w:rPr>
          <w:rFonts w:ascii="Arial" w:hAnsi="Arial" w:cs="Arial"/>
          <w:b/>
          <w:bCs/>
          <w:sz w:val="22"/>
          <w:szCs w:val="22"/>
        </w:rPr>
        <w:t>Informe Ejecutivo</w:t>
      </w:r>
      <w:r w:rsidR="1F76170A" w:rsidRPr="00513190">
        <w:rPr>
          <w:rFonts w:ascii="Arial" w:hAnsi="Arial" w:cs="Arial"/>
          <w:b/>
          <w:bCs/>
          <w:sz w:val="22"/>
          <w:szCs w:val="22"/>
        </w:rPr>
        <w:t xml:space="preserve"> Grupo de Acompañamiento y Monitoreo a la Atención - GAMA</w:t>
      </w:r>
    </w:p>
    <w:p w14:paraId="7F59A0F2" w14:textId="02E6F363" w:rsidR="00F17C33" w:rsidRPr="00513190" w:rsidRDefault="00DE0585" w:rsidP="006037CF">
      <w:pPr>
        <w:pStyle w:val="Ttulo1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513190">
        <w:rPr>
          <w:rFonts w:ascii="Arial" w:hAnsi="Arial" w:cs="Arial"/>
          <w:sz w:val="22"/>
          <w:szCs w:val="22"/>
        </w:rPr>
        <w:t>Referenciación de Servicios Urgencias y Hospitalización IPS Bogotá 2024</w:t>
      </w:r>
    </w:p>
    <w:p w14:paraId="7113CE91" w14:textId="77777777" w:rsidR="00C64B9B" w:rsidRPr="00513190" w:rsidRDefault="00C64B9B" w:rsidP="006037CF">
      <w:pPr>
        <w:spacing w:line="240" w:lineRule="auto"/>
        <w:jc w:val="both"/>
        <w:rPr>
          <w:rFonts w:ascii="Arial" w:hAnsi="Arial" w:cs="Arial"/>
        </w:rPr>
      </w:pPr>
    </w:p>
    <w:p w14:paraId="26172C87" w14:textId="20A84C98" w:rsidR="00F17C33" w:rsidRPr="00513190" w:rsidRDefault="00F17C33" w:rsidP="006037CF">
      <w:pPr>
        <w:spacing w:line="240" w:lineRule="auto"/>
        <w:jc w:val="both"/>
        <w:rPr>
          <w:rFonts w:ascii="Arial" w:hAnsi="Arial" w:cs="Arial"/>
          <w:color w:val="FF0000"/>
        </w:rPr>
      </w:pPr>
      <w:r w:rsidRPr="00513190">
        <w:rPr>
          <w:rFonts w:ascii="Arial" w:hAnsi="Arial" w:cs="Arial"/>
          <w:b/>
          <w:bCs/>
        </w:rPr>
        <w:t>Periodo Auditado</w:t>
      </w:r>
      <w:r w:rsidRPr="00513190">
        <w:rPr>
          <w:rFonts w:ascii="Arial" w:hAnsi="Arial" w:cs="Arial"/>
        </w:rPr>
        <w:t xml:space="preserve">: </w:t>
      </w:r>
      <w:r w:rsidR="0026659D">
        <w:rPr>
          <w:rFonts w:ascii="Arial" w:hAnsi="Arial" w:cs="Arial"/>
        </w:rPr>
        <w:t>8 de noviembre</w:t>
      </w:r>
      <w:r w:rsidR="0096546D">
        <w:rPr>
          <w:rFonts w:ascii="Arial" w:hAnsi="Arial" w:cs="Arial"/>
        </w:rPr>
        <w:t xml:space="preserve"> 2024 al</w:t>
      </w:r>
      <w:r w:rsidR="0026659D">
        <w:rPr>
          <w:rFonts w:ascii="Arial" w:hAnsi="Arial" w:cs="Arial"/>
        </w:rPr>
        <w:t xml:space="preserve"> 30 de marzo del 2025</w:t>
      </w:r>
    </w:p>
    <w:p w14:paraId="524BDEB7" w14:textId="7A114382" w:rsidR="00F17C33" w:rsidRPr="006037CF" w:rsidRDefault="00F17C33" w:rsidP="006037CF">
      <w:pPr>
        <w:spacing w:line="240" w:lineRule="auto"/>
        <w:jc w:val="both"/>
        <w:rPr>
          <w:rStyle w:val="Ttulo1Car"/>
          <w:rFonts w:ascii="Arial" w:hAnsi="Arial" w:cs="Arial"/>
          <w:color w:val="FF0000"/>
          <w:sz w:val="22"/>
          <w:szCs w:val="22"/>
        </w:rPr>
      </w:pPr>
      <w:r w:rsidRPr="00513190">
        <w:rPr>
          <w:rFonts w:ascii="Arial" w:hAnsi="Arial" w:cs="Arial"/>
          <w:b/>
          <w:bCs/>
        </w:rPr>
        <w:t>Nombre de la IPS</w:t>
      </w:r>
      <w:r w:rsidRPr="00513190">
        <w:rPr>
          <w:rFonts w:ascii="Arial" w:hAnsi="Arial" w:cs="Arial"/>
        </w:rPr>
        <w:t xml:space="preserve">: </w:t>
      </w:r>
      <w:r w:rsidR="0026659D">
        <w:rPr>
          <w:rFonts w:ascii="Arial" w:hAnsi="Arial" w:cs="Arial"/>
        </w:rPr>
        <w:t>HOSPITAL UNIVERSITARIO CLINICA SAN RARAEL (HUCSR)</w:t>
      </w:r>
    </w:p>
    <w:p w14:paraId="54944EC1" w14:textId="77777777" w:rsidR="0096546D" w:rsidRDefault="00147BA6" w:rsidP="006037CF">
      <w:pPr>
        <w:spacing w:before="240" w:after="240" w:line="240" w:lineRule="auto"/>
        <w:jc w:val="both"/>
        <w:rPr>
          <w:rFonts w:ascii="Arial" w:hAnsi="Arial" w:cs="Arial"/>
        </w:rPr>
      </w:pPr>
      <w:r w:rsidRPr="74B076EB">
        <w:rPr>
          <w:rFonts w:ascii="Arial" w:hAnsi="Arial" w:cs="Arial"/>
          <w:b/>
          <w:bCs/>
        </w:rPr>
        <w:t>Objetivo:</w:t>
      </w:r>
      <w:r w:rsidRPr="74B076EB">
        <w:rPr>
          <w:rFonts w:ascii="Arial" w:hAnsi="Arial" w:cs="Arial"/>
        </w:rPr>
        <w:t xml:space="preserve"> </w:t>
      </w:r>
    </w:p>
    <w:p w14:paraId="519EED09" w14:textId="738F1E8F" w:rsidR="00147BA6" w:rsidRDefault="2E976A18" w:rsidP="006037CF">
      <w:pPr>
        <w:spacing w:before="240" w:after="240" w:line="240" w:lineRule="auto"/>
        <w:jc w:val="both"/>
        <w:rPr>
          <w:rFonts w:ascii="Arial" w:eastAsia="Arial" w:hAnsi="Arial" w:cs="Arial"/>
        </w:rPr>
      </w:pPr>
      <w:r w:rsidRPr="74B076EB">
        <w:rPr>
          <w:rFonts w:ascii="Arial" w:hAnsi="Arial" w:cs="Arial"/>
        </w:rPr>
        <w:t>P</w:t>
      </w:r>
      <w:r w:rsidRPr="74B076EB">
        <w:rPr>
          <w:rFonts w:ascii="Arial" w:eastAsia="Arial" w:hAnsi="Arial" w:cs="Arial"/>
        </w:rPr>
        <w:t>resentar los res</w:t>
      </w:r>
      <w:bookmarkStart w:id="0" w:name="_GoBack"/>
      <w:bookmarkEnd w:id="0"/>
      <w:r w:rsidRPr="74B076EB">
        <w:rPr>
          <w:rFonts w:ascii="Arial" w:eastAsia="Arial" w:hAnsi="Arial" w:cs="Arial"/>
        </w:rPr>
        <w:t>ultados de las visitas de acompañamiento realizadas a las EPS e IPS que operan en el distrito capital. Estas visitas buscan visibilizar la gestión en el marco del proceso de referencia y contrarreferencia, identificar áreas de mejora y destacar buenas prácticas que puedan servir como modelo para los demás actores involucrados en la atención de la población de Bogotá.</w:t>
      </w:r>
    </w:p>
    <w:p w14:paraId="7A438A24" w14:textId="4D492AF4" w:rsidR="2E976A18" w:rsidRDefault="2E976A18" w:rsidP="006037CF">
      <w:pPr>
        <w:spacing w:before="240" w:after="240" w:line="240" w:lineRule="auto"/>
        <w:jc w:val="both"/>
        <w:rPr>
          <w:rFonts w:ascii="Arial" w:eastAsia="Arial" w:hAnsi="Arial" w:cs="Arial"/>
        </w:rPr>
      </w:pPr>
      <w:r w:rsidRPr="74B076EB">
        <w:rPr>
          <w:rFonts w:ascii="Arial" w:eastAsia="Arial" w:hAnsi="Arial" w:cs="Arial"/>
        </w:rPr>
        <w:t>El propósito fundamental de la estrategia GAMA es el de brindar apoyo y orientación a los referentes encargados de estos procesos dentro del Sistema de Salud (EPS e IPS), fortaleciendo su capacidad de gestión.</w:t>
      </w:r>
    </w:p>
    <w:p w14:paraId="0A637ED7" w14:textId="75C287C7" w:rsidR="2E976A18" w:rsidRDefault="2E976A18" w:rsidP="006037CF">
      <w:pPr>
        <w:spacing w:before="240" w:after="240" w:line="240" w:lineRule="auto"/>
        <w:jc w:val="both"/>
      </w:pPr>
      <w:r w:rsidRPr="74B076EB">
        <w:rPr>
          <w:rFonts w:ascii="Arial" w:eastAsia="Arial" w:hAnsi="Arial" w:cs="Arial"/>
        </w:rPr>
        <w:t>A continuación, se exponen los resultados obtenidos a partir de las observaciones realizadas durante el acompañamiento.</w:t>
      </w:r>
    </w:p>
    <w:p w14:paraId="3919D352" w14:textId="7B8D4B6E" w:rsidR="00F17C33" w:rsidRDefault="0012490C" w:rsidP="006037CF">
      <w:pPr>
        <w:pStyle w:val="Ttulo1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513190">
        <w:rPr>
          <w:rFonts w:ascii="Arial" w:hAnsi="Arial" w:cs="Arial"/>
          <w:sz w:val="22"/>
          <w:szCs w:val="22"/>
        </w:rPr>
        <w:t>Variables de gestión</w:t>
      </w:r>
      <w:r w:rsidR="00F17C33" w:rsidRPr="00513190">
        <w:rPr>
          <w:rFonts w:ascii="Arial" w:hAnsi="Arial" w:cs="Arial"/>
          <w:sz w:val="22"/>
          <w:szCs w:val="22"/>
        </w:rPr>
        <w:t>:</w:t>
      </w:r>
    </w:p>
    <w:p w14:paraId="016B674B" w14:textId="3651C854" w:rsidR="00CF6210" w:rsidRPr="0096546D" w:rsidRDefault="00CF6210" w:rsidP="0096546D">
      <w:pPr>
        <w:spacing w:before="240" w:after="240" w:line="240" w:lineRule="auto"/>
        <w:jc w:val="both"/>
        <w:rPr>
          <w:rFonts w:ascii="Arial" w:eastAsia="Arial" w:hAnsi="Arial" w:cs="Arial"/>
        </w:rPr>
      </w:pPr>
      <w:r w:rsidRPr="0096546D">
        <w:rPr>
          <w:rFonts w:ascii="Arial" w:eastAsia="Arial" w:hAnsi="Arial" w:cs="Arial"/>
        </w:rPr>
        <w:t>A continuación, se detalla la distribución de los casos atendidos en la IPS como parte del acompañamiento realizado por GAMA. Estos casos corresponden a pacientes con necesidades de gestión para una atención integral, que se encuentran en los servicios de urgencias y han permanecido más de 24 horas esperando hospitalización, remisión integral o traslado redondo.</w:t>
      </w:r>
    </w:p>
    <w:p w14:paraId="20B2823D" w14:textId="4455AAB8" w:rsidR="00116319" w:rsidRDefault="00C659C5" w:rsidP="006037CF">
      <w:pPr>
        <w:pStyle w:val="Descripcin"/>
        <w:jc w:val="both"/>
        <w:rPr>
          <w:rFonts w:ascii="Arial" w:hAnsi="Arial" w:cs="Arial"/>
          <w:color w:val="auto"/>
          <w:sz w:val="20"/>
          <w:szCs w:val="20"/>
        </w:rPr>
      </w:pPr>
      <w:r w:rsidRPr="00513190">
        <w:rPr>
          <w:rFonts w:ascii="Arial" w:hAnsi="Arial" w:cs="Arial"/>
          <w:color w:val="auto"/>
          <w:sz w:val="20"/>
          <w:szCs w:val="20"/>
        </w:rPr>
        <w:t xml:space="preserve">Tabla </w:t>
      </w:r>
      <w:r w:rsidRPr="00513190">
        <w:rPr>
          <w:rFonts w:ascii="Arial" w:hAnsi="Arial" w:cs="Arial"/>
          <w:color w:val="auto"/>
          <w:sz w:val="20"/>
          <w:szCs w:val="20"/>
        </w:rPr>
        <w:fldChar w:fldCharType="begin"/>
      </w:r>
      <w:r w:rsidRPr="00513190">
        <w:rPr>
          <w:rFonts w:ascii="Arial" w:hAnsi="Arial" w:cs="Arial"/>
          <w:color w:val="auto"/>
          <w:sz w:val="20"/>
          <w:szCs w:val="20"/>
        </w:rPr>
        <w:instrText xml:space="preserve"> SEQ Tabla \* ARABIC </w:instrText>
      </w:r>
      <w:r w:rsidRPr="00513190">
        <w:rPr>
          <w:rFonts w:ascii="Arial" w:hAnsi="Arial" w:cs="Arial"/>
          <w:color w:val="auto"/>
          <w:sz w:val="20"/>
          <w:szCs w:val="20"/>
        </w:rPr>
        <w:fldChar w:fldCharType="separate"/>
      </w:r>
      <w:r w:rsidRPr="00513190">
        <w:rPr>
          <w:rFonts w:ascii="Arial" w:hAnsi="Arial" w:cs="Arial"/>
          <w:color w:val="auto"/>
          <w:sz w:val="20"/>
          <w:szCs w:val="20"/>
        </w:rPr>
        <w:t>1</w:t>
      </w:r>
      <w:r w:rsidRPr="00513190">
        <w:rPr>
          <w:rFonts w:ascii="Arial" w:hAnsi="Arial" w:cs="Arial"/>
          <w:color w:val="auto"/>
          <w:sz w:val="20"/>
          <w:szCs w:val="20"/>
        </w:rPr>
        <w:fldChar w:fldCharType="end"/>
      </w:r>
      <w:r w:rsidRPr="00513190">
        <w:rPr>
          <w:rFonts w:ascii="Arial" w:hAnsi="Arial" w:cs="Arial"/>
          <w:color w:val="auto"/>
          <w:sz w:val="20"/>
          <w:szCs w:val="20"/>
        </w:rPr>
        <w:t xml:space="preserve"> Distribución de casos</w:t>
      </w:r>
      <w:r w:rsidR="00962479">
        <w:rPr>
          <w:rFonts w:ascii="Arial" w:hAnsi="Arial" w:cs="Arial"/>
          <w:color w:val="auto"/>
          <w:sz w:val="20"/>
          <w:szCs w:val="20"/>
        </w:rPr>
        <w:t xml:space="preserve"> </w:t>
      </w:r>
      <w:r w:rsidR="00962479" w:rsidRPr="00962479">
        <w:rPr>
          <w:rFonts w:ascii="Arial" w:hAnsi="Arial" w:cs="Arial"/>
          <w:color w:val="auto"/>
          <w:sz w:val="20"/>
          <w:szCs w:val="20"/>
        </w:rPr>
        <w:t xml:space="preserve">Acumulado de casos con Estancia Prolongada </w:t>
      </w:r>
      <w:r w:rsidR="00962479">
        <w:rPr>
          <w:rFonts w:ascii="Arial" w:hAnsi="Arial" w:cs="Arial"/>
          <w:color w:val="auto"/>
          <w:sz w:val="20"/>
          <w:szCs w:val="20"/>
        </w:rPr>
        <w:t>p</w:t>
      </w:r>
      <w:r w:rsidRPr="00513190">
        <w:rPr>
          <w:rFonts w:ascii="Arial" w:hAnsi="Arial" w:cs="Arial"/>
          <w:color w:val="auto"/>
          <w:sz w:val="20"/>
          <w:szCs w:val="20"/>
        </w:rPr>
        <w:t xml:space="preserve">or EAPB, </w:t>
      </w:r>
      <w:r w:rsidR="00353F49">
        <w:rPr>
          <w:rFonts w:ascii="Arial" w:hAnsi="Arial" w:cs="Arial"/>
          <w:color w:val="auto"/>
          <w:sz w:val="20"/>
          <w:szCs w:val="20"/>
        </w:rPr>
        <w:t>por trimestre</w:t>
      </w:r>
    </w:p>
    <w:tbl>
      <w:tblPr>
        <w:tblW w:w="90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1"/>
        <w:gridCol w:w="1091"/>
        <w:gridCol w:w="1246"/>
        <w:gridCol w:w="1066"/>
        <w:gridCol w:w="1246"/>
        <w:gridCol w:w="1424"/>
      </w:tblGrid>
      <w:tr w:rsidR="0096546D" w:rsidRPr="0096546D" w14:paraId="271B8941" w14:textId="77777777" w:rsidTr="0096546D">
        <w:trPr>
          <w:trHeight w:val="231"/>
        </w:trPr>
        <w:tc>
          <w:tcPr>
            <w:tcW w:w="30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4CF238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EAPB / ASEGURADORA</w:t>
            </w:r>
          </w:p>
        </w:tc>
        <w:tc>
          <w:tcPr>
            <w:tcW w:w="23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9F532D2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Año 2024</w:t>
            </w:r>
          </w:p>
        </w:tc>
        <w:tc>
          <w:tcPr>
            <w:tcW w:w="37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EAB9262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Año 2025</w:t>
            </w:r>
          </w:p>
        </w:tc>
      </w:tr>
      <w:tr w:rsidR="0096546D" w:rsidRPr="0096546D" w14:paraId="02DF4723" w14:textId="77777777" w:rsidTr="0096546D">
        <w:trPr>
          <w:trHeight w:val="231"/>
        </w:trPr>
        <w:tc>
          <w:tcPr>
            <w:tcW w:w="30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D394F" w14:textId="77777777" w:rsidR="0096546D" w:rsidRPr="0096546D" w:rsidRDefault="0096546D" w:rsidP="009654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3C7C78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nov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7FC93B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dic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57BAC4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ene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A4E558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feb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FF2947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mar</w:t>
            </w:r>
          </w:p>
        </w:tc>
      </w:tr>
      <w:tr w:rsidR="0096546D" w:rsidRPr="0096546D" w14:paraId="201CA233" w14:textId="77777777" w:rsidTr="0096546D">
        <w:trPr>
          <w:trHeight w:val="231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B8C1FC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FAMISANAR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F6CA33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B7D55B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80BAD5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21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8C4EC1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B5FFA1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62</w:t>
            </w:r>
          </w:p>
        </w:tc>
      </w:tr>
      <w:tr w:rsidR="0096546D" w:rsidRPr="0096546D" w14:paraId="7DD0E94B" w14:textId="77777777" w:rsidTr="0096546D">
        <w:trPr>
          <w:trHeight w:val="231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8748C9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NUEVA EPS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FFFAB9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20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424B6C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543B43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7248B0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72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5B6F7C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149</w:t>
            </w:r>
          </w:p>
        </w:tc>
      </w:tr>
      <w:tr w:rsidR="0096546D" w:rsidRPr="0096546D" w14:paraId="621572A3" w14:textId="77777777" w:rsidTr="0096546D">
        <w:trPr>
          <w:trHeight w:val="231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92EF2F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SANITAS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EED189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E97174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B22C35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56C884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5752EE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20</w:t>
            </w:r>
          </w:p>
        </w:tc>
      </w:tr>
      <w:tr w:rsidR="0096546D" w:rsidRPr="0096546D" w14:paraId="399FB71C" w14:textId="77777777" w:rsidTr="0096546D">
        <w:trPr>
          <w:trHeight w:val="231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DBD2EB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COMPENSAR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377D4D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CEDD98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17FC56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387391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B65320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42</w:t>
            </w:r>
          </w:p>
        </w:tc>
      </w:tr>
      <w:tr w:rsidR="0096546D" w:rsidRPr="0096546D" w14:paraId="1E312916" w14:textId="77777777" w:rsidTr="0096546D">
        <w:trPr>
          <w:trHeight w:val="231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4087C3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SURA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A50E78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28E823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5E58B1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7D26D7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47C3D9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14</w:t>
            </w:r>
          </w:p>
        </w:tc>
      </w:tr>
      <w:tr w:rsidR="0096546D" w:rsidRPr="0096546D" w14:paraId="26B2A5BC" w14:textId="77777777" w:rsidTr="0096546D">
        <w:trPr>
          <w:trHeight w:val="231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01EEE2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SOAT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362F4A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C105E6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0BFE20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210CF6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FB0319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</w:tr>
      <w:tr w:rsidR="0096546D" w:rsidRPr="0096546D" w14:paraId="0E99BAC4" w14:textId="77777777" w:rsidTr="0096546D">
        <w:trPr>
          <w:trHeight w:val="231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8CD3FF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lastRenderedPageBreak/>
              <w:t>MEDICINA PREPAGADA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ADA80A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146FA3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0B7830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0E9736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CBEEED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</w:tr>
      <w:tr w:rsidR="0096546D" w:rsidRPr="0096546D" w14:paraId="6862A9EE" w14:textId="77777777" w:rsidTr="0096546D">
        <w:trPr>
          <w:trHeight w:val="231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9E9B50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ALIANSALUD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B9290C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689B28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1539A7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199A1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7F86C9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</w:tr>
      <w:tr w:rsidR="0096546D" w:rsidRPr="0096546D" w14:paraId="0B088A4E" w14:textId="77777777" w:rsidTr="0096546D">
        <w:trPr>
          <w:trHeight w:val="231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1DF24B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ARL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E4F121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033636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438A71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22B5D7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A6DA11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</w:tr>
      <w:tr w:rsidR="0096546D" w:rsidRPr="0096546D" w14:paraId="24CA4151" w14:textId="77777777" w:rsidTr="0096546D">
        <w:trPr>
          <w:trHeight w:val="231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AE9ACA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CAPITAL SALUD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752A07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D9FE92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081171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91E3D4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DE3CAA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5</w:t>
            </w:r>
          </w:p>
        </w:tc>
      </w:tr>
      <w:tr w:rsidR="0096546D" w:rsidRPr="0096546D" w14:paraId="7867B381" w14:textId="77777777" w:rsidTr="0096546D">
        <w:trPr>
          <w:trHeight w:val="231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388821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COOSALUD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CB53AC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55C6B9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B58DDC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1004EA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997699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</w:tr>
      <w:tr w:rsidR="0096546D" w:rsidRPr="0096546D" w14:paraId="09C45DA3" w14:textId="77777777" w:rsidTr="0096546D">
        <w:trPr>
          <w:trHeight w:val="231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5E59AB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FFD (no asegurado)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A2CE0F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C80697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B1B355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39B40D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BD070D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</w:tr>
      <w:tr w:rsidR="0096546D" w:rsidRPr="0096546D" w14:paraId="2E59EED8" w14:textId="77777777" w:rsidTr="000E309E">
        <w:trPr>
          <w:trHeight w:val="312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48ED83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OTRAS EPS ( FUERA DE BOGOTA 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CC9662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B1CE46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430E66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8C4E07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9A1665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</w:tr>
      <w:tr w:rsidR="0096546D" w:rsidRPr="0096546D" w14:paraId="3A1A124D" w14:textId="77777777" w:rsidTr="0096546D">
        <w:trPr>
          <w:trHeight w:val="231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2C9941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PARTICULAR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0022B7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40809F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93522A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C3FF82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2DE795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20</w:t>
            </w:r>
          </w:p>
        </w:tc>
      </w:tr>
      <w:tr w:rsidR="0096546D" w:rsidRPr="0096546D" w14:paraId="23E27760" w14:textId="77777777" w:rsidTr="0096546D">
        <w:trPr>
          <w:trHeight w:val="231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3CDF47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REG. EXCEPCION/ESPECIALES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4E6F52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119665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C39954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DDF014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4FEA75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</w:tr>
      <w:tr w:rsidR="0096546D" w:rsidRPr="0096546D" w14:paraId="69793F60" w14:textId="77777777" w:rsidTr="0096546D">
        <w:trPr>
          <w:trHeight w:val="231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0A74CB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SALUD BOLIVAR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2F5E33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3D84D3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1D5245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E9DCB6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C51310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</w:tr>
      <w:tr w:rsidR="0096546D" w:rsidRPr="0096546D" w14:paraId="33978AE3" w14:textId="77777777" w:rsidTr="0096546D">
        <w:trPr>
          <w:trHeight w:val="231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813BBC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SALUD TOTAL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DD90C9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0841AA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CBFE02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DC781C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F87470" w14:textId="77777777" w:rsidR="0096546D" w:rsidRPr="0096546D" w:rsidRDefault="0096546D" w:rsidP="00965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6546D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</w:tr>
    </w:tbl>
    <w:p w14:paraId="3BA6D3DD" w14:textId="589E373A" w:rsidR="0012490C" w:rsidRDefault="0012490C" w:rsidP="006037C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13190">
        <w:rPr>
          <w:rFonts w:ascii="Arial" w:hAnsi="Arial" w:cs="Arial"/>
          <w:sz w:val="20"/>
          <w:szCs w:val="20"/>
        </w:rPr>
        <w:t>Fuente: Elaboración a partir de actas de seguimiento y matriz de gestión.</w:t>
      </w:r>
      <w:r w:rsidR="43811E29" w:rsidRPr="00513190">
        <w:rPr>
          <w:rFonts w:ascii="Arial" w:hAnsi="Arial" w:cs="Arial"/>
          <w:sz w:val="20"/>
          <w:szCs w:val="20"/>
        </w:rPr>
        <w:t xml:space="preserve"> Equipo GAMA </w:t>
      </w:r>
      <w:r w:rsidR="00600C4F">
        <w:rPr>
          <w:rFonts w:ascii="Arial" w:hAnsi="Arial" w:cs="Arial"/>
          <w:sz w:val="20"/>
          <w:szCs w:val="20"/>
        </w:rPr>
        <w:t>30 marzo</w:t>
      </w:r>
      <w:r w:rsidR="00C659C5" w:rsidRPr="00513190">
        <w:rPr>
          <w:rFonts w:ascii="Arial" w:hAnsi="Arial" w:cs="Arial"/>
          <w:sz w:val="20"/>
          <w:szCs w:val="20"/>
        </w:rPr>
        <w:t xml:space="preserve"> </w:t>
      </w:r>
      <w:r w:rsidR="43811E29" w:rsidRPr="00513190">
        <w:rPr>
          <w:rFonts w:ascii="Arial" w:hAnsi="Arial" w:cs="Arial"/>
          <w:sz w:val="20"/>
          <w:szCs w:val="20"/>
        </w:rPr>
        <w:t>202</w:t>
      </w:r>
      <w:r w:rsidR="00600C4F">
        <w:rPr>
          <w:rFonts w:ascii="Arial" w:hAnsi="Arial" w:cs="Arial"/>
          <w:sz w:val="20"/>
          <w:szCs w:val="20"/>
        </w:rPr>
        <w:t>5</w:t>
      </w:r>
    </w:p>
    <w:p w14:paraId="03276D4E" w14:textId="77777777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  <w:r w:rsidRPr="002C0BD0">
        <w:rPr>
          <w:rFonts w:ascii="Arial" w:hAnsi="Arial" w:cs="Arial"/>
          <w:sz w:val="20"/>
          <w:szCs w:val="20"/>
          <w:lang w:val="es-CO"/>
        </w:rPr>
        <w:t>R</w:t>
      </w:r>
      <w:r w:rsidRPr="00C47E03">
        <w:rPr>
          <w:rFonts w:ascii="Arial" w:eastAsia="Arial" w:hAnsi="Arial" w:cs="Arial"/>
        </w:rPr>
        <w:t>esultados del Acompañamiento</w:t>
      </w:r>
    </w:p>
    <w:p w14:paraId="1A98EDAE" w14:textId="77777777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</w:p>
    <w:p w14:paraId="77E2E35B" w14:textId="10FBFC39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  <w:r w:rsidRPr="00C47E03">
        <w:rPr>
          <w:rFonts w:ascii="Arial" w:eastAsia="Arial" w:hAnsi="Arial" w:cs="Arial"/>
        </w:rPr>
        <w:t xml:space="preserve">Durante los 5 meses de acompañamiento por el GRUPO GAMA, se identificaron </w:t>
      </w:r>
      <w:r>
        <w:rPr>
          <w:rFonts w:ascii="Arial" w:eastAsia="Arial" w:hAnsi="Arial" w:cs="Arial"/>
        </w:rPr>
        <w:t xml:space="preserve">604 </w:t>
      </w:r>
      <w:r w:rsidRPr="00C47E03">
        <w:rPr>
          <w:rFonts w:ascii="Arial" w:eastAsia="Arial" w:hAnsi="Arial" w:cs="Arial"/>
        </w:rPr>
        <w:t>casos de usuarios que se encontraban en espera de respuesta de un trámite administrativo.</w:t>
      </w:r>
    </w:p>
    <w:p w14:paraId="56392546" w14:textId="77777777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</w:p>
    <w:p w14:paraId="6957DB26" w14:textId="78F44191" w:rsidR="0096546D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  <w:r w:rsidRPr="00C47E03">
        <w:rPr>
          <w:rFonts w:ascii="Arial" w:eastAsia="Arial" w:hAnsi="Arial" w:cs="Arial"/>
        </w:rPr>
        <w:t>Distribución de Casos por Mes</w:t>
      </w:r>
    </w:p>
    <w:p w14:paraId="4D844DD7" w14:textId="77777777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</w:p>
    <w:p w14:paraId="6A7F3025" w14:textId="4713E50F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  <w:r w:rsidRPr="00C47E03">
        <w:rPr>
          <w:rFonts w:ascii="Arial" w:eastAsia="Arial" w:hAnsi="Arial" w:cs="Arial"/>
        </w:rPr>
        <w:t>- m</w:t>
      </w:r>
      <w:r>
        <w:rPr>
          <w:rFonts w:ascii="Arial" w:eastAsia="Arial" w:hAnsi="Arial" w:cs="Arial"/>
        </w:rPr>
        <w:t>arzo 2025: 325</w:t>
      </w:r>
      <w:r w:rsidRPr="00C47E03">
        <w:rPr>
          <w:rFonts w:ascii="Arial" w:eastAsia="Arial" w:hAnsi="Arial" w:cs="Arial"/>
        </w:rPr>
        <w:t xml:space="preserve"> casos</w:t>
      </w:r>
    </w:p>
    <w:p w14:paraId="2C66F880" w14:textId="4FC27A21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  <w:r w:rsidRPr="00C47E03"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</w:rPr>
        <w:t>febrero 2025: 116</w:t>
      </w:r>
      <w:r w:rsidRPr="00C47E03">
        <w:rPr>
          <w:rFonts w:ascii="Arial" w:eastAsia="Arial" w:hAnsi="Arial" w:cs="Arial"/>
        </w:rPr>
        <w:t xml:space="preserve"> casos</w:t>
      </w:r>
    </w:p>
    <w:p w14:paraId="0558000D" w14:textId="0B9C676B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  <w:r w:rsidRPr="00C47E03"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</w:rPr>
        <w:t>noviembre 2024: con 103 casos</w:t>
      </w:r>
    </w:p>
    <w:p w14:paraId="4342E54F" w14:textId="50BA9CA2" w:rsidR="0096546D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  <w:r w:rsidRPr="00C47E03"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</w:rPr>
        <w:t xml:space="preserve">enero 2025 con 40 casos </w:t>
      </w:r>
    </w:p>
    <w:p w14:paraId="2217D469" w14:textId="47B4ABE0" w:rsidR="0096546D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- diciembre 2024: 20 casos </w:t>
      </w:r>
    </w:p>
    <w:p w14:paraId="79329CDE" w14:textId="25B8F174" w:rsidR="0096546D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</w:p>
    <w:p w14:paraId="4313ABE8" w14:textId="2FB64975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Esta variedad de casos se ve relacionada con el número de visitas realizadas en la IPS</w:t>
      </w:r>
    </w:p>
    <w:p w14:paraId="7863CDE7" w14:textId="77777777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</w:p>
    <w:p w14:paraId="27DF1EB1" w14:textId="77777777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  <w:r w:rsidRPr="00C47E03">
        <w:rPr>
          <w:rFonts w:ascii="Arial" w:eastAsia="Arial" w:hAnsi="Arial" w:cs="Arial"/>
        </w:rPr>
        <w:t>Trámites Pendientes</w:t>
      </w:r>
    </w:p>
    <w:p w14:paraId="35A924DF" w14:textId="77777777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</w:p>
    <w:p w14:paraId="34F85E2C" w14:textId="77777777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  <w:r w:rsidRPr="00C47E03">
        <w:rPr>
          <w:rFonts w:ascii="Arial" w:eastAsia="Arial" w:hAnsi="Arial" w:cs="Arial"/>
        </w:rPr>
        <w:t>- Traslado redondo</w:t>
      </w:r>
    </w:p>
    <w:p w14:paraId="37418BB0" w14:textId="77777777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  <w:r w:rsidRPr="00C47E03">
        <w:rPr>
          <w:rFonts w:ascii="Arial" w:eastAsia="Arial" w:hAnsi="Arial" w:cs="Arial"/>
        </w:rPr>
        <w:t>- Remisión</w:t>
      </w:r>
    </w:p>
    <w:p w14:paraId="6898A046" w14:textId="77777777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  <w:r w:rsidRPr="00C47E03">
        <w:rPr>
          <w:rFonts w:ascii="Arial" w:eastAsia="Arial" w:hAnsi="Arial" w:cs="Arial"/>
        </w:rPr>
        <w:t>- Autorización por PHD</w:t>
      </w:r>
    </w:p>
    <w:p w14:paraId="42498641" w14:textId="77777777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  <w:r w:rsidRPr="00C47E03">
        <w:rPr>
          <w:rFonts w:ascii="Arial" w:eastAsia="Arial" w:hAnsi="Arial" w:cs="Arial"/>
        </w:rPr>
        <w:t>- Trámite de oxígeno</w:t>
      </w:r>
    </w:p>
    <w:p w14:paraId="19B049E0" w14:textId="77777777" w:rsidR="0096546D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  <w:r w:rsidRPr="00C47E03">
        <w:rPr>
          <w:rFonts w:ascii="Arial" w:eastAsia="Arial" w:hAnsi="Arial" w:cs="Arial"/>
        </w:rPr>
        <w:t>- Espera de cama hospitalaria por más de 24 horas</w:t>
      </w:r>
    </w:p>
    <w:p w14:paraId="1B0EDD2F" w14:textId="77777777" w:rsidR="0096546D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</w:p>
    <w:p w14:paraId="24482081" w14:textId="77777777" w:rsidR="0096546D" w:rsidRPr="00C47E03" w:rsidRDefault="0096546D" w:rsidP="0096546D">
      <w:pPr>
        <w:spacing w:line="240" w:lineRule="auto"/>
        <w:jc w:val="both"/>
        <w:rPr>
          <w:rFonts w:ascii="Arial" w:eastAsia="Arial" w:hAnsi="Arial" w:cs="Arial"/>
        </w:rPr>
      </w:pPr>
      <w:r w:rsidRPr="00C47E03">
        <w:rPr>
          <w:rFonts w:ascii="Arial" w:eastAsia="Arial" w:hAnsi="Arial" w:cs="Arial"/>
        </w:rPr>
        <w:t>Resultados</w:t>
      </w:r>
      <w:r>
        <w:rPr>
          <w:rFonts w:ascii="Arial" w:eastAsia="Arial" w:hAnsi="Arial" w:cs="Arial"/>
        </w:rPr>
        <w:t xml:space="preserve"> por EAPB </w:t>
      </w:r>
    </w:p>
    <w:p w14:paraId="64D9FB4A" w14:textId="6B84F2A7" w:rsidR="0096546D" w:rsidRPr="00C47E03" w:rsidRDefault="0096546D" w:rsidP="0096546D">
      <w:pPr>
        <w:spacing w:line="240" w:lineRule="auto"/>
        <w:jc w:val="both"/>
        <w:rPr>
          <w:rFonts w:ascii="Arial" w:eastAsia="Arial" w:hAnsi="Arial" w:cs="Arial"/>
        </w:rPr>
      </w:pPr>
      <w:r w:rsidRPr="00C47E03">
        <w:rPr>
          <w:rFonts w:ascii="Arial" w:eastAsia="Arial" w:hAnsi="Arial" w:cs="Arial"/>
        </w:rPr>
        <w:t>- EAPB con Mayor N</w:t>
      </w:r>
      <w:r>
        <w:rPr>
          <w:rFonts w:ascii="Arial" w:eastAsia="Arial" w:hAnsi="Arial" w:cs="Arial"/>
        </w:rPr>
        <w:t>ú</w:t>
      </w:r>
      <w:r w:rsidR="00A926DC">
        <w:rPr>
          <w:rFonts w:ascii="Arial" w:eastAsia="Arial" w:hAnsi="Arial" w:cs="Arial"/>
        </w:rPr>
        <w:t>mero de Casos: Nueva EPS con 248</w:t>
      </w:r>
      <w:r w:rsidRPr="00C47E03">
        <w:rPr>
          <w:rFonts w:ascii="Arial" w:eastAsia="Arial" w:hAnsi="Arial" w:cs="Arial"/>
        </w:rPr>
        <w:t xml:space="preserve"> casos.</w:t>
      </w:r>
    </w:p>
    <w:p w14:paraId="54C0512C" w14:textId="13F0D511" w:rsidR="0096546D" w:rsidRPr="00C47E03" w:rsidRDefault="0096546D" w:rsidP="0096546D">
      <w:pPr>
        <w:spacing w:line="240" w:lineRule="auto"/>
        <w:jc w:val="both"/>
        <w:rPr>
          <w:rFonts w:ascii="Arial" w:eastAsia="Arial" w:hAnsi="Arial" w:cs="Arial"/>
        </w:rPr>
      </w:pPr>
      <w:r w:rsidRPr="00C47E03">
        <w:rPr>
          <w:rFonts w:ascii="Arial" w:eastAsia="Arial" w:hAnsi="Arial" w:cs="Arial"/>
        </w:rPr>
        <w:t>- Segunda EAPB con Mayor N</w:t>
      </w:r>
      <w:r>
        <w:rPr>
          <w:rFonts w:ascii="Arial" w:eastAsia="Arial" w:hAnsi="Arial" w:cs="Arial"/>
        </w:rPr>
        <w:t>úmero de Caso</w:t>
      </w:r>
      <w:r w:rsidR="00A926DC">
        <w:rPr>
          <w:rFonts w:ascii="Arial" w:eastAsia="Arial" w:hAnsi="Arial" w:cs="Arial"/>
        </w:rPr>
        <w:t>s: Famisanar con 110</w:t>
      </w:r>
      <w:r w:rsidRPr="00C47E03">
        <w:rPr>
          <w:rFonts w:ascii="Arial" w:eastAsia="Arial" w:hAnsi="Arial" w:cs="Arial"/>
        </w:rPr>
        <w:t xml:space="preserve"> casos.</w:t>
      </w:r>
    </w:p>
    <w:p w14:paraId="70F6DD06" w14:textId="77777777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</w:p>
    <w:p w14:paraId="498A196E" w14:textId="77777777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</w:p>
    <w:p w14:paraId="51FE5A51" w14:textId="77777777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  <w:r w:rsidRPr="00C47E03">
        <w:rPr>
          <w:rFonts w:ascii="Arial" w:eastAsia="Arial" w:hAnsi="Arial" w:cs="Arial"/>
        </w:rPr>
        <w:t>Conclusión</w:t>
      </w:r>
    </w:p>
    <w:p w14:paraId="25DBA899" w14:textId="77777777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</w:p>
    <w:p w14:paraId="76DFC0E2" w14:textId="77777777" w:rsidR="0096546D" w:rsidRPr="00C47E03" w:rsidRDefault="0096546D" w:rsidP="0096546D">
      <w:pPr>
        <w:spacing w:after="0" w:line="240" w:lineRule="auto"/>
        <w:jc w:val="both"/>
        <w:rPr>
          <w:rFonts w:ascii="Arial" w:eastAsia="Arial" w:hAnsi="Arial" w:cs="Arial"/>
        </w:rPr>
      </w:pPr>
      <w:r w:rsidRPr="00C47E03">
        <w:rPr>
          <w:rFonts w:ascii="Arial" w:eastAsia="Arial" w:hAnsi="Arial" w:cs="Arial"/>
        </w:rPr>
        <w:t xml:space="preserve">El acompañamiento permitió identificar y cuantificar los casos de usuarios en espera de respuesta de trámites administrativos, lo que puede ser útil para mejorar la gestión y reducir los tiempos de espera en especial por la articulación con las EAPB y gestión en articulación con las IPS </w:t>
      </w:r>
    </w:p>
    <w:p w14:paraId="2935771D" w14:textId="77777777" w:rsidR="0096546D" w:rsidRPr="00353F49" w:rsidRDefault="0096546D" w:rsidP="006037CF">
      <w:pPr>
        <w:spacing w:line="240" w:lineRule="auto"/>
        <w:jc w:val="both"/>
        <w:rPr>
          <w:rFonts w:ascii="Arial" w:hAnsi="Arial" w:cs="Arial"/>
          <w:sz w:val="20"/>
          <w:szCs w:val="20"/>
          <w:lang w:val="es-CO"/>
        </w:rPr>
      </w:pPr>
    </w:p>
    <w:p w14:paraId="5CEA53EB" w14:textId="77777777" w:rsidR="00F17C33" w:rsidRPr="00513190" w:rsidRDefault="00F17C33" w:rsidP="006037CF">
      <w:pPr>
        <w:pStyle w:val="Ttulo1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513190">
        <w:rPr>
          <w:rFonts w:ascii="Arial" w:hAnsi="Arial" w:cs="Arial"/>
          <w:b/>
          <w:sz w:val="22"/>
          <w:szCs w:val="22"/>
        </w:rPr>
        <w:t>Distribución de Gestiones</w:t>
      </w:r>
    </w:p>
    <w:p w14:paraId="56F27E98" w14:textId="77777777" w:rsidR="00CF6210" w:rsidRDefault="00CF6210" w:rsidP="006037CF">
      <w:pPr>
        <w:spacing w:line="240" w:lineRule="auto"/>
        <w:jc w:val="both"/>
        <w:rPr>
          <w:rFonts w:ascii="Arial" w:hAnsi="Arial" w:cs="Arial"/>
        </w:rPr>
      </w:pPr>
    </w:p>
    <w:p w14:paraId="7FEE4ECB" w14:textId="429BCC85" w:rsidR="006B7DE4" w:rsidRDefault="006B7DE4" w:rsidP="006037CF">
      <w:pPr>
        <w:spacing w:line="240" w:lineRule="auto"/>
        <w:jc w:val="both"/>
        <w:rPr>
          <w:rFonts w:ascii="Arial" w:hAnsi="Arial" w:cs="Arial"/>
        </w:rPr>
      </w:pPr>
      <w:r w:rsidRPr="00513190">
        <w:rPr>
          <w:rFonts w:ascii="Arial" w:hAnsi="Arial" w:cs="Arial"/>
        </w:rPr>
        <w:t xml:space="preserve">A continuación, se relacionan los casos gestionados en el marco de la visita de acompañamiento por parte del equipo </w:t>
      </w:r>
      <w:r w:rsidR="0676A956" w:rsidRPr="00513190">
        <w:rPr>
          <w:rFonts w:ascii="Arial" w:hAnsi="Arial" w:cs="Arial"/>
        </w:rPr>
        <w:t>GAMA</w:t>
      </w:r>
      <w:r w:rsidRPr="00513190">
        <w:rPr>
          <w:rFonts w:ascii="Arial" w:hAnsi="Arial" w:cs="Arial"/>
        </w:rPr>
        <w:t>.</w:t>
      </w:r>
    </w:p>
    <w:p w14:paraId="46671F9D" w14:textId="449F1013" w:rsidR="00C659C5" w:rsidRPr="00513190" w:rsidRDefault="00C659C5" w:rsidP="006037CF">
      <w:pPr>
        <w:pStyle w:val="Descripcin"/>
        <w:jc w:val="both"/>
        <w:rPr>
          <w:rFonts w:ascii="Arial" w:hAnsi="Arial" w:cs="Arial"/>
          <w:color w:val="auto"/>
          <w:sz w:val="20"/>
          <w:szCs w:val="20"/>
        </w:rPr>
      </w:pPr>
      <w:r w:rsidRPr="00513190">
        <w:rPr>
          <w:rFonts w:ascii="Arial" w:hAnsi="Arial" w:cs="Arial"/>
          <w:color w:val="auto"/>
          <w:sz w:val="20"/>
          <w:szCs w:val="20"/>
        </w:rPr>
        <w:t xml:space="preserve">Tabla </w:t>
      </w:r>
      <w:r w:rsidRPr="00513190">
        <w:rPr>
          <w:rFonts w:ascii="Arial" w:hAnsi="Arial" w:cs="Arial"/>
          <w:color w:val="auto"/>
          <w:sz w:val="20"/>
          <w:szCs w:val="20"/>
        </w:rPr>
        <w:fldChar w:fldCharType="begin"/>
      </w:r>
      <w:r w:rsidRPr="00513190">
        <w:rPr>
          <w:rFonts w:ascii="Arial" w:hAnsi="Arial" w:cs="Arial"/>
          <w:color w:val="auto"/>
          <w:sz w:val="20"/>
          <w:szCs w:val="20"/>
        </w:rPr>
        <w:instrText xml:space="preserve"> SEQ Tabla \* ARABIC </w:instrText>
      </w:r>
      <w:r w:rsidRPr="00513190">
        <w:rPr>
          <w:rFonts w:ascii="Arial" w:hAnsi="Arial" w:cs="Arial"/>
          <w:color w:val="auto"/>
          <w:sz w:val="20"/>
          <w:szCs w:val="20"/>
        </w:rPr>
        <w:fldChar w:fldCharType="separate"/>
      </w:r>
      <w:r w:rsidRPr="00513190">
        <w:rPr>
          <w:rFonts w:ascii="Arial" w:hAnsi="Arial" w:cs="Arial"/>
          <w:noProof/>
          <w:color w:val="auto"/>
          <w:sz w:val="20"/>
          <w:szCs w:val="20"/>
        </w:rPr>
        <w:t>2</w:t>
      </w:r>
      <w:r w:rsidRPr="00513190">
        <w:rPr>
          <w:rFonts w:ascii="Arial" w:hAnsi="Arial" w:cs="Arial"/>
          <w:color w:val="auto"/>
          <w:sz w:val="20"/>
          <w:szCs w:val="20"/>
        </w:rPr>
        <w:fldChar w:fldCharType="end"/>
      </w:r>
      <w:r w:rsidRPr="00513190">
        <w:rPr>
          <w:rFonts w:ascii="Arial" w:hAnsi="Arial" w:cs="Arial"/>
          <w:color w:val="auto"/>
          <w:sz w:val="20"/>
          <w:szCs w:val="20"/>
        </w:rPr>
        <w:t xml:space="preserve"> Distribución de </w:t>
      </w:r>
      <w:r w:rsidR="00B814C5">
        <w:rPr>
          <w:rFonts w:ascii="Arial" w:hAnsi="Arial" w:cs="Arial"/>
          <w:color w:val="auto"/>
          <w:sz w:val="20"/>
          <w:szCs w:val="20"/>
        </w:rPr>
        <w:t>gestionados por estancia prolongada, Acumulado Nov 2024 a Marzo 2025</w:t>
      </w:r>
    </w:p>
    <w:tbl>
      <w:tblPr>
        <w:tblW w:w="875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8"/>
        <w:gridCol w:w="1127"/>
        <w:gridCol w:w="1109"/>
        <w:gridCol w:w="1137"/>
        <w:gridCol w:w="917"/>
        <w:gridCol w:w="1082"/>
        <w:gridCol w:w="1164"/>
        <w:gridCol w:w="1164"/>
      </w:tblGrid>
      <w:tr w:rsidR="003A2FAB" w:rsidRPr="003A2FAB" w14:paraId="0D246716" w14:textId="77777777" w:rsidTr="000E309E">
        <w:trPr>
          <w:trHeight w:val="149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71258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Mes de Seguimiento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7A3D8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Remisiones Gestionadas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56231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Traslados redondo gestionados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4F202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PHD  Gestionados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4E21B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Traslados efectivos a PHD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32C87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Oxígeno Domiciliario Gestionado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027AA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Casos Resueltos (Efectivos, Egresos, Permanencia en IPS, PHD Efectivo)</w:t>
            </w:r>
          </w:p>
        </w:tc>
        <w:tc>
          <w:tcPr>
            <w:tcW w:w="1141" w:type="dxa"/>
            <w:tcBorders>
              <w:top w:val="single" w:sz="8" w:space="0" w:color="808080"/>
              <w:left w:val="nil"/>
              <w:bottom w:val="nil"/>
              <w:right w:val="single" w:sz="8" w:space="0" w:color="808080"/>
            </w:tcBorders>
            <w:shd w:val="clear" w:color="000000" w:fill="FFFFFF"/>
            <w:vAlign w:val="center"/>
            <w:hideMark/>
          </w:tcPr>
          <w:p w14:paraId="3ECE5875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Proporción de resolutividad acumulada mensual</w:t>
            </w:r>
          </w:p>
        </w:tc>
      </w:tr>
      <w:tr w:rsidR="003A2FAB" w:rsidRPr="003A2FAB" w14:paraId="3A407A77" w14:textId="77777777" w:rsidTr="000E309E">
        <w:trPr>
          <w:trHeight w:val="232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35DA8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Noviembre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CC561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87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D01CA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A7D46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4A692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6F519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5938D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60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A6F67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66,00%</w:t>
            </w:r>
          </w:p>
        </w:tc>
      </w:tr>
      <w:tr w:rsidR="003A2FAB" w:rsidRPr="003A2FAB" w14:paraId="6A8E967D" w14:textId="77777777" w:rsidTr="000E309E">
        <w:trPr>
          <w:trHeight w:val="232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6FBF9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Diciembre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D6A01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88D72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7032A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1374E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36508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7B881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DE31C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68,00%</w:t>
            </w:r>
          </w:p>
        </w:tc>
      </w:tr>
      <w:tr w:rsidR="003A2FAB" w:rsidRPr="003A2FAB" w14:paraId="5BA126DA" w14:textId="77777777" w:rsidTr="000E309E">
        <w:trPr>
          <w:trHeight w:val="232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03A35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Enero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60CAD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1016C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04507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5119B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14F03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0E88D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24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6477C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67,00%</w:t>
            </w:r>
          </w:p>
        </w:tc>
      </w:tr>
      <w:tr w:rsidR="003A2FAB" w:rsidRPr="003A2FAB" w14:paraId="04283F95" w14:textId="77777777" w:rsidTr="000E309E">
        <w:trPr>
          <w:trHeight w:val="232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C6BFC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Febrero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786E1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E2188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9364C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4DDEC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2782E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9678E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50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6B3B1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60,00%</w:t>
            </w:r>
          </w:p>
        </w:tc>
      </w:tr>
      <w:tr w:rsidR="003A2FAB" w:rsidRPr="003A2FAB" w14:paraId="11E4F6A5" w14:textId="77777777" w:rsidTr="000E309E">
        <w:trPr>
          <w:trHeight w:val="232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BE609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Marzo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4B5DF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193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1F43E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3CC42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45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FE2BB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A095B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64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5D7B4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87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0E097" w14:textId="77777777" w:rsidR="003A2FAB" w:rsidRPr="003A2FAB" w:rsidRDefault="003A2FAB" w:rsidP="003A2F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3A2FA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43,00%</w:t>
            </w:r>
          </w:p>
        </w:tc>
      </w:tr>
    </w:tbl>
    <w:p w14:paraId="19B68BD7" w14:textId="7C938680" w:rsidR="006B7DE4" w:rsidRPr="000E309E" w:rsidRDefault="006B7DE4" w:rsidP="006037CF">
      <w:pPr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0E309E">
        <w:rPr>
          <w:rFonts w:ascii="Arial" w:hAnsi="Arial" w:cs="Arial"/>
          <w:sz w:val="16"/>
          <w:szCs w:val="16"/>
        </w:rPr>
        <w:t>Fuente: Elaboración a partir de actas de seguimiento y matriz de gestión.</w:t>
      </w:r>
      <w:r w:rsidR="00513190" w:rsidRPr="000E309E">
        <w:rPr>
          <w:rFonts w:ascii="Arial" w:hAnsi="Arial" w:cs="Arial"/>
          <w:sz w:val="16"/>
          <w:szCs w:val="16"/>
        </w:rPr>
        <w:t xml:space="preserve"> </w:t>
      </w:r>
      <w:r w:rsidR="561C76D9" w:rsidRPr="000E309E">
        <w:rPr>
          <w:rFonts w:ascii="Arial" w:hAnsi="Arial" w:cs="Arial"/>
          <w:sz w:val="16"/>
          <w:szCs w:val="16"/>
        </w:rPr>
        <w:t>Equipo GAMA</w:t>
      </w:r>
      <w:r w:rsidR="00513190" w:rsidRPr="000E309E">
        <w:rPr>
          <w:rFonts w:ascii="Arial" w:hAnsi="Arial" w:cs="Arial"/>
          <w:sz w:val="16"/>
          <w:szCs w:val="16"/>
        </w:rPr>
        <w:t>.</w:t>
      </w:r>
      <w:r w:rsidR="00B814C5" w:rsidRPr="000E309E">
        <w:rPr>
          <w:rFonts w:ascii="Arial" w:hAnsi="Arial" w:cs="Arial"/>
          <w:sz w:val="16"/>
          <w:szCs w:val="16"/>
        </w:rPr>
        <w:t xml:space="preserve"> Acumulado</w:t>
      </w:r>
      <w:r w:rsidR="00513190" w:rsidRPr="000E309E">
        <w:rPr>
          <w:rFonts w:ascii="Arial" w:hAnsi="Arial" w:cs="Arial"/>
          <w:sz w:val="16"/>
          <w:szCs w:val="16"/>
        </w:rPr>
        <w:t xml:space="preserve"> </w:t>
      </w:r>
      <w:r w:rsidR="003A2FAB" w:rsidRPr="000E309E">
        <w:rPr>
          <w:rFonts w:ascii="Arial" w:hAnsi="Arial" w:cs="Arial"/>
          <w:sz w:val="16"/>
          <w:szCs w:val="16"/>
        </w:rPr>
        <w:t xml:space="preserve">noviembre 2024 a </w:t>
      </w:r>
      <w:r w:rsidR="006037CF" w:rsidRPr="000E309E">
        <w:rPr>
          <w:rFonts w:ascii="Arial" w:hAnsi="Arial" w:cs="Arial"/>
          <w:sz w:val="16"/>
          <w:szCs w:val="16"/>
        </w:rPr>
        <w:t>marzo</w:t>
      </w:r>
      <w:r w:rsidR="00CF6210" w:rsidRPr="000E309E">
        <w:rPr>
          <w:rFonts w:ascii="Arial" w:hAnsi="Arial" w:cs="Arial"/>
          <w:sz w:val="16"/>
          <w:szCs w:val="16"/>
        </w:rPr>
        <w:t xml:space="preserve"> 2025</w:t>
      </w:r>
    </w:p>
    <w:p w14:paraId="1B199978" w14:textId="77777777" w:rsidR="003A2FAB" w:rsidRDefault="003A2FAB" w:rsidP="003A2FA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la tabla anterior se relacionan los casos de trámites administrativos para remisiones, traslados redondos, PHD y oxigeno </w:t>
      </w:r>
    </w:p>
    <w:p w14:paraId="40216244" w14:textId="77777777" w:rsidR="003A2FAB" w:rsidRPr="000C5E06" w:rsidRDefault="003A2FAB" w:rsidP="003A2FAB">
      <w:pPr>
        <w:spacing w:after="0" w:line="240" w:lineRule="auto"/>
        <w:jc w:val="both"/>
        <w:rPr>
          <w:rFonts w:ascii="Arial" w:hAnsi="Arial" w:cs="Arial"/>
        </w:rPr>
      </w:pPr>
    </w:p>
    <w:p w14:paraId="5BC3A417" w14:textId="2E36C248" w:rsidR="003A2FAB" w:rsidRPr="000C5E06" w:rsidRDefault="003A2FAB" w:rsidP="003A2FA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Total, de remisiones por más de 24 horas</w:t>
      </w:r>
      <w:r>
        <w:rPr>
          <w:rFonts w:ascii="Arial" w:hAnsi="Arial" w:cs="Arial"/>
        </w:rPr>
        <w:t>: 441</w:t>
      </w:r>
      <w:r w:rsidRPr="000C5E06">
        <w:rPr>
          <w:rFonts w:ascii="Arial" w:hAnsi="Arial" w:cs="Arial"/>
        </w:rPr>
        <w:t xml:space="preserve"> casos.</w:t>
      </w:r>
    </w:p>
    <w:p w14:paraId="7B7AFAF1" w14:textId="6372FB70" w:rsidR="003A2FAB" w:rsidRPr="000C5E06" w:rsidRDefault="003A2FAB" w:rsidP="003A2FA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Total, de t</w:t>
      </w:r>
      <w:r>
        <w:rPr>
          <w:rFonts w:ascii="Arial" w:hAnsi="Arial" w:cs="Arial"/>
        </w:rPr>
        <w:t>raslados Redondos: 2</w:t>
      </w:r>
      <w:r w:rsidRPr="000C5E06">
        <w:rPr>
          <w:rFonts w:ascii="Arial" w:hAnsi="Arial" w:cs="Arial"/>
        </w:rPr>
        <w:t xml:space="preserve"> casos.</w:t>
      </w:r>
    </w:p>
    <w:p w14:paraId="03EB11CD" w14:textId="3036EE3D" w:rsidR="003A2FAB" w:rsidRDefault="003A2FAB" w:rsidP="003A2FA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Total, de casos de </w:t>
      </w:r>
      <w:r>
        <w:rPr>
          <w:rFonts w:ascii="Arial" w:hAnsi="Arial" w:cs="Arial"/>
        </w:rPr>
        <w:t>PHD Efectivos: 52</w:t>
      </w:r>
      <w:r w:rsidRPr="000C5E06">
        <w:rPr>
          <w:rFonts w:ascii="Arial" w:hAnsi="Arial" w:cs="Arial"/>
        </w:rPr>
        <w:t xml:space="preserve"> casos.</w:t>
      </w:r>
      <w:r>
        <w:rPr>
          <w:rFonts w:ascii="Arial" w:hAnsi="Arial" w:cs="Arial"/>
        </w:rPr>
        <w:t>es es destacar que la IPS</w:t>
      </w:r>
      <w:r>
        <w:rPr>
          <w:rFonts w:ascii="Arial" w:hAnsi="Arial" w:cs="Arial"/>
        </w:rPr>
        <w:t xml:space="preserve"> maneja el programa de hospitalización domiciliaria, donde se evidencia el aumento de demanda inducida al programa según las recomendaciones del grupo GAMA.</w:t>
      </w:r>
    </w:p>
    <w:p w14:paraId="2E6DE893" w14:textId="54B82153" w:rsidR="003A2FAB" w:rsidRDefault="003A2FAB" w:rsidP="003A2FA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>
        <w:rPr>
          <w:rFonts w:ascii="Arial" w:hAnsi="Arial" w:cs="Arial"/>
        </w:rPr>
        <w:t>otal, de tramites de oxígenos: 75</w:t>
      </w:r>
      <w:r>
        <w:rPr>
          <w:rFonts w:ascii="Arial" w:hAnsi="Arial" w:cs="Arial"/>
        </w:rPr>
        <w:t xml:space="preserve"> casos, se evidencia </w:t>
      </w:r>
      <w:r>
        <w:rPr>
          <w:rFonts w:ascii="Arial" w:hAnsi="Arial" w:cs="Arial"/>
        </w:rPr>
        <w:t>seguimiento diario de autorización de trámite de oxígeno.</w:t>
      </w:r>
    </w:p>
    <w:p w14:paraId="795F64D5" w14:textId="77777777" w:rsidR="003A2FAB" w:rsidRPr="000C5E06" w:rsidRDefault="003A2FAB" w:rsidP="003A2FAB">
      <w:pPr>
        <w:spacing w:after="0" w:line="240" w:lineRule="auto"/>
        <w:jc w:val="both"/>
        <w:rPr>
          <w:rFonts w:ascii="Arial" w:hAnsi="Arial" w:cs="Arial"/>
        </w:rPr>
      </w:pPr>
    </w:p>
    <w:p w14:paraId="5BAC3624" w14:textId="77777777" w:rsidR="003A2FAB" w:rsidRPr="000C5E06" w:rsidRDefault="003A2FAB" w:rsidP="003A2FAB">
      <w:pPr>
        <w:spacing w:after="0" w:line="240" w:lineRule="auto"/>
        <w:jc w:val="both"/>
        <w:rPr>
          <w:rFonts w:ascii="Arial" w:hAnsi="Arial" w:cs="Arial"/>
          <w:b/>
        </w:rPr>
      </w:pPr>
      <w:r w:rsidRPr="000C5E06">
        <w:rPr>
          <w:rFonts w:ascii="Arial" w:hAnsi="Arial" w:cs="Arial"/>
          <w:b/>
        </w:rPr>
        <w:lastRenderedPageBreak/>
        <w:t>Efectividad</w:t>
      </w:r>
    </w:p>
    <w:p w14:paraId="78A5D92B" w14:textId="77777777" w:rsidR="003A2FAB" w:rsidRPr="000C5E06" w:rsidRDefault="003A2FAB" w:rsidP="003A2FAB">
      <w:pPr>
        <w:spacing w:after="0" w:line="240" w:lineRule="auto"/>
        <w:jc w:val="both"/>
        <w:rPr>
          <w:rFonts w:ascii="Arial" w:hAnsi="Arial" w:cs="Arial"/>
        </w:rPr>
      </w:pPr>
    </w:p>
    <w:p w14:paraId="0D893B83" w14:textId="50F6B642" w:rsidR="003A2FAB" w:rsidRPr="000C5E06" w:rsidRDefault="003A2FAB" w:rsidP="003A2FA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Total, de Casos Efectivos: 236</w:t>
      </w:r>
      <w:r w:rsidRPr="000C5E06">
        <w:rPr>
          <w:rFonts w:ascii="Arial" w:hAnsi="Arial" w:cs="Arial"/>
        </w:rPr>
        <w:t xml:space="preserve"> casos.</w:t>
      </w:r>
    </w:p>
    <w:p w14:paraId="64BCD1DA" w14:textId="5A124DCC" w:rsidR="003A2FAB" w:rsidRPr="000C5E06" w:rsidRDefault="003A2FAB" w:rsidP="003A2FAB">
      <w:pPr>
        <w:spacing w:after="0" w:line="240" w:lineRule="auto"/>
        <w:jc w:val="both"/>
        <w:rPr>
          <w:rFonts w:ascii="Arial" w:hAnsi="Arial" w:cs="Arial"/>
        </w:rPr>
      </w:pPr>
      <w:r w:rsidRPr="000C5E06">
        <w:rPr>
          <w:rFonts w:ascii="Arial" w:hAnsi="Arial" w:cs="Arial"/>
        </w:rPr>
        <w:t xml:space="preserve">Porcentaje de Efectividad </w:t>
      </w:r>
      <w:r>
        <w:rPr>
          <w:rFonts w:ascii="Arial" w:hAnsi="Arial" w:cs="Arial"/>
        </w:rPr>
        <w:t>Promedio: 60</w:t>
      </w:r>
      <w:r w:rsidRPr="000C5E06">
        <w:rPr>
          <w:rFonts w:ascii="Arial" w:hAnsi="Arial" w:cs="Arial"/>
        </w:rPr>
        <w:t>%.</w:t>
      </w:r>
    </w:p>
    <w:p w14:paraId="3ACB7A0D" w14:textId="77777777" w:rsidR="003A2FAB" w:rsidRPr="000C5E06" w:rsidRDefault="003A2FAB" w:rsidP="003A2FAB">
      <w:pPr>
        <w:spacing w:after="0" w:line="240" w:lineRule="auto"/>
        <w:jc w:val="both"/>
        <w:rPr>
          <w:rFonts w:ascii="Arial" w:hAnsi="Arial" w:cs="Arial"/>
          <w:b/>
        </w:rPr>
      </w:pPr>
    </w:p>
    <w:p w14:paraId="2B16271B" w14:textId="77777777" w:rsidR="003A2FAB" w:rsidRPr="000C5E06" w:rsidRDefault="003A2FAB" w:rsidP="003A2FAB">
      <w:pPr>
        <w:spacing w:after="0" w:line="240" w:lineRule="auto"/>
        <w:jc w:val="both"/>
        <w:rPr>
          <w:rFonts w:ascii="Arial" w:hAnsi="Arial" w:cs="Arial"/>
          <w:b/>
        </w:rPr>
      </w:pPr>
      <w:r w:rsidRPr="000C5E06">
        <w:rPr>
          <w:rFonts w:ascii="Arial" w:hAnsi="Arial" w:cs="Arial"/>
          <w:b/>
        </w:rPr>
        <w:t>Seguimiento</w:t>
      </w:r>
    </w:p>
    <w:p w14:paraId="0BE6FD3F" w14:textId="77777777" w:rsidR="003A2FAB" w:rsidRPr="000C5E06" w:rsidRDefault="003A2FAB" w:rsidP="003A2FAB">
      <w:pPr>
        <w:spacing w:after="0" w:line="240" w:lineRule="auto"/>
        <w:jc w:val="both"/>
        <w:rPr>
          <w:rFonts w:ascii="Arial" w:hAnsi="Arial" w:cs="Arial"/>
        </w:rPr>
      </w:pPr>
    </w:p>
    <w:p w14:paraId="378E0379" w14:textId="761A0F05" w:rsidR="003A2FAB" w:rsidRPr="000C5E06" w:rsidRDefault="003A2FAB" w:rsidP="003A2FA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 evidencia a</w:t>
      </w:r>
      <w:r w:rsidRPr="000C5E06">
        <w:rPr>
          <w:rFonts w:ascii="Arial" w:hAnsi="Arial" w:cs="Arial"/>
        </w:rPr>
        <w:t>lto porcentaje de</w:t>
      </w:r>
      <w:r>
        <w:rPr>
          <w:rFonts w:ascii="Arial" w:hAnsi="Arial" w:cs="Arial"/>
        </w:rPr>
        <w:t xml:space="preserve"> egreso para</w:t>
      </w:r>
      <w:r>
        <w:rPr>
          <w:rFonts w:ascii="Arial" w:hAnsi="Arial" w:cs="Arial"/>
        </w:rPr>
        <w:t xml:space="preserve"> manejo ambulatorio seguido de, </w:t>
      </w:r>
      <w:r>
        <w:rPr>
          <w:rFonts w:ascii="Arial" w:hAnsi="Arial" w:cs="Arial"/>
        </w:rPr>
        <w:t>casos autorizados para</w:t>
      </w:r>
      <w:r w:rsidRPr="000C5E06">
        <w:rPr>
          <w:rFonts w:ascii="Arial" w:hAnsi="Arial" w:cs="Arial"/>
        </w:rPr>
        <w:t xml:space="preserve"> manejo en la IPS.</w:t>
      </w:r>
    </w:p>
    <w:p w14:paraId="5E280B87" w14:textId="77777777" w:rsidR="003A2FAB" w:rsidRPr="000C5E06" w:rsidRDefault="003A2FAB" w:rsidP="003A2FAB">
      <w:pPr>
        <w:spacing w:after="0" w:line="240" w:lineRule="auto"/>
        <w:jc w:val="both"/>
        <w:rPr>
          <w:rFonts w:ascii="Arial" w:hAnsi="Arial" w:cs="Arial"/>
        </w:rPr>
      </w:pPr>
    </w:p>
    <w:p w14:paraId="414F1A53" w14:textId="77777777" w:rsidR="003A2FAB" w:rsidRPr="000C5E06" w:rsidRDefault="003A2FAB" w:rsidP="003A2FAB">
      <w:pPr>
        <w:spacing w:after="0" w:line="240" w:lineRule="auto"/>
        <w:jc w:val="both"/>
        <w:rPr>
          <w:rFonts w:ascii="Arial" w:hAnsi="Arial" w:cs="Arial"/>
          <w:b/>
        </w:rPr>
      </w:pPr>
      <w:r w:rsidRPr="000C5E06">
        <w:rPr>
          <w:rFonts w:ascii="Arial" w:hAnsi="Arial" w:cs="Arial"/>
          <w:b/>
        </w:rPr>
        <w:t xml:space="preserve">Observaciones </w:t>
      </w:r>
    </w:p>
    <w:p w14:paraId="12B1CBA8" w14:textId="77777777" w:rsidR="003A2FAB" w:rsidRPr="000C5E06" w:rsidRDefault="003A2FAB" w:rsidP="003A2FAB">
      <w:pPr>
        <w:spacing w:after="0" w:line="240" w:lineRule="auto"/>
        <w:jc w:val="both"/>
        <w:rPr>
          <w:rFonts w:ascii="Arial" w:hAnsi="Arial" w:cs="Arial"/>
        </w:rPr>
      </w:pPr>
    </w:p>
    <w:p w14:paraId="49DE95EA" w14:textId="77777777" w:rsidR="003A2FAB" w:rsidRPr="000C5E06" w:rsidRDefault="003A2FAB" w:rsidP="003A2FAB">
      <w:pPr>
        <w:spacing w:after="0" w:line="240" w:lineRule="auto"/>
        <w:jc w:val="both"/>
        <w:rPr>
          <w:rFonts w:ascii="Arial" w:hAnsi="Arial" w:cs="Arial"/>
        </w:rPr>
      </w:pPr>
      <w:r w:rsidRPr="000C5E06">
        <w:rPr>
          <w:rFonts w:ascii="Arial" w:hAnsi="Arial" w:cs="Arial"/>
        </w:rPr>
        <w:t>Mejora en la Gestión: Los resultados sugieren que hay oportunidades para mejorar la gestión de casos y aumentar la efectividad en la resoluc</w:t>
      </w:r>
      <w:r>
        <w:rPr>
          <w:rFonts w:ascii="Arial" w:hAnsi="Arial" w:cs="Arial"/>
        </w:rPr>
        <w:t xml:space="preserve">ión de trámites administrativos por parte de las diferentes EPAB </w:t>
      </w:r>
    </w:p>
    <w:p w14:paraId="2D226215" w14:textId="77777777" w:rsidR="003A2FAB" w:rsidRPr="00513190" w:rsidRDefault="003A2FAB" w:rsidP="006037C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2FC81FB" w14:textId="1E7DC6EB" w:rsidR="00553224" w:rsidRDefault="00553224" w:rsidP="006037CF">
      <w:pPr>
        <w:spacing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Comportamiento de la ocupación observada en el marco de las visitas de acompañamiento.</w:t>
      </w:r>
    </w:p>
    <w:p w14:paraId="4FA78356" w14:textId="2D698741" w:rsidR="00553224" w:rsidRDefault="00553224" w:rsidP="006037CF">
      <w:pPr>
        <w:pStyle w:val="Descripcin"/>
        <w:jc w:val="both"/>
        <w:rPr>
          <w:rFonts w:ascii="Arial" w:hAnsi="Arial" w:cs="Arial"/>
          <w:i w:val="0"/>
          <w:iCs w:val="0"/>
          <w:color w:val="auto"/>
          <w:sz w:val="22"/>
          <w:szCs w:val="22"/>
        </w:rPr>
      </w:pPr>
      <w:r w:rsidRPr="00553224">
        <w:rPr>
          <w:rFonts w:ascii="Arial" w:hAnsi="Arial" w:cs="Arial"/>
          <w:i w:val="0"/>
          <w:iCs w:val="0"/>
          <w:color w:val="auto"/>
          <w:sz w:val="22"/>
          <w:szCs w:val="22"/>
        </w:rPr>
        <w:t>A continuación, se muestra el comportamiento de la ocupación observad</w:t>
      </w:r>
      <w:r>
        <w:rPr>
          <w:rFonts w:ascii="Arial" w:hAnsi="Arial" w:cs="Arial"/>
          <w:i w:val="0"/>
          <w:iCs w:val="0"/>
          <w:color w:val="auto"/>
          <w:sz w:val="22"/>
          <w:szCs w:val="22"/>
        </w:rPr>
        <w:t>a</w:t>
      </w:r>
      <w:r w:rsidRPr="00553224">
        <w:rPr>
          <w:rFonts w:ascii="Arial" w:hAnsi="Arial" w:cs="Arial"/>
          <w:i w:val="0"/>
          <w:iCs w:val="0"/>
          <w:color w:val="auto"/>
          <w:sz w:val="22"/>
          <w:szCs w:val="22"/>
        </w:rPr>
        <w:t xml:space="preserve"> por los equipos de GAMA en cada una de las visitas, </w:t>
      </w:r>
      <w:r>
        <w:rPr>
          <w:rFonts w:ascii="Arial" w:hAnsi="Arial" w:cs="Arial"/>
          <w:i w:val="0"/>
          <w:iCs w:val="0"/>
          <w:color w:val="auto"/>
          <w:sz w:val="22"/>
          <w:szCs w:val="22"/>
        </w:rPr>
        <w:t>y</w:t>
      </w:r>
      <w:r w:rsidR="00A51DC2">
        <w:rPr>
          <w:rFonts w:ascii="Arial" w:hAnsi="Arial" w:cs="Arial"/>
          <w:i w:val="0"/>
          <w:iCs w:val="0"/>
          <w:color w:val="auto"/>
          <w:sz w:val="22"/>
          <w:szCs w:val="22"/>
        </w:rPr>
        <w:t xml:space="preserve"> el promedio acumulado para el mes de noviembre 2024 y marzo del 2025.</w:t>
      </w:r>
    </w:p>
    <w:p w14:paraId="217DFA35" w14:textId="20D1815E" w:rsidR="00553224" w:rsidRDefault="00553224" w:rsidP="006037CF">
      <w:pPr>
        <w:pStyle w:val="Descripcin"/>
        <w:jc w:val="both"/>
        <w:rPr>
          <w:rFonts w:ascii="Arial" w:hAnsi="Arial" w:cs="Arial"/>
          <w:color w:val="auto"/>
          <w:sz w:val="20"/>
          <w:szCs w:val="20"/>
        </w:rPr>
      </w:pPr>
      <w:r w:rsidRPr="00513190">
        <w:rPr>
          <w:rFonts w:ascii="Arial" w:hAnsi="Arial" w:cs="Arial"/>
          <w:color w:val="auto"/>
          <w:sz w:val="20"/>
          <w:szCs w:val="20"/>
        </w:rPr>
        <w:t xml:space="preserve">Tabla </w:t>
      </w:r>
      <w:r w:rsidRPr="00513190">
        <w:rPr>
          <w:rFonts w:ascii="Arial" w:hAnsi="Arial" w:cs="Arial"/>
          <w:color w:val="auto"/>
          <w:sz w:val="20"/>
          <w:szCs w:val="20"/>
        </w:rPr>
        <w:fldChar w:fldCharType="begin"/>
      </w:r>
      <w:r w:rsidRPr="00513190">
        <w:rPr>
          <w:rFonts w:ascii="Arial" w:hAnsi="Arial" w:cs="Arial"/>
          <w:color w:val="auto"/>
          <w:sz w:val="20"/>
          <w:szCs w:val="20"/>
        </w:rPr>
        <w:instrText xml:space="preserve"> SEQ Tabla \* ARABIC </w:instrText>
      </w:r>
      <w:r w:rsidRPr="00513190">
        <w:rPr>
          <w:rFonts w:ascii="Arial" w:hAnsi="Arial" w:cs="Arial"/>
          <w:color w:val="auto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auto"/>
          <w:sz w:val="20"/>
          <w:szCs w:val="20"/>
        </w:rPr>
        <w:t>3</w:t>
      </w:r>
      <w:r w:rsidRPr="00513190">
        <w:rPr>
          <w:rFonts w:ascii="Arial" w:hAnsi="Arial" w:cs="Arial"/>
          <w:color w:val="auto"/>
          <w:sz w:val="20"/>
          <w:szCs w:val="20"/>
        </w:rPr>
        <w:fldChar w:fldCharType="end"/>
      </w:r>
      <w:r>
        <w:rPr>
          <w:rFonts w:ascii="Arial" w:hAnsi="Arial" w:cs="Arial"/>
          <w:color w:val="auto"/>
          <w:sz w:val="20"/>
          <w:szCs w:val="20"/>
        </w:rPr>
        <w:t xml:space="preserve"> Comportamiento de la capacidad instalada / ocupación observada por GAMA</w:t>
      </w:r>
    </w:p>
    <w:p w14:paraId="20D8129D" w14:textId="77777777" w:rsidR="00A51DC2" w:rsidRPr="004031A9" w:rsidRDefault="00A51DC2" w:rsidP="00A51DC2">
      <w:pPr>
        <w:rPr>
          <w:rFonts w:ascii="Arial" w:hAnsi="Arial" w:cs="Arial"/>
          <w:b/>
        </w:rPr>
      </w:pPr>
      <w:r w:rsidRPr="004031A9">
        <w:rPr>
          <w:rFonts w:ascii="Arial" w:hAnsi="Arial" w:cs="Arial"/>
          <w:b/>
        </w:rPr>
        <w:t xml:space="preserve">Ocupación adultos </w:t>
      </w:r>
    </w:p>
    <w:tbl>
      <w:tblPr>
        <w:tblW w:w="8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2"/>
        <w:gridCol w:w="798"/>
        <w:gridCol w:w="686"/>
        <w:gridCol w:w="698"/>
        <w:gridCol w:w="798"/>
        <w:gridCol w:w="798"/>
        <w:gridCol w:w="798"/>
      </w:tblGrid>
      <w:tr w:rsidR="00A51DC2" w:rsidRPr="00007991" w14:paraId="3051B4DA" w14:textId="77777777" w:rsidTr="00ED4A7A">
        <w:trPr>
          <w:trHeight w:val="420"/>
          <w:tblHeader/>
        </w:trPr>
        <w:tc>
          <w:tcPr>
            <w:tcW w:w="4252" w:type="dxa"/>
            <w:vMerge w:val="restart"/>
            <w:shd w:val="clear" w:color="000000" w:fill="FFFFFF"/>
            <w:vAlign w:val="center"/>
            <w:hideMark/>
          </w:tcPr>
          <w:p w14:paraId="1C4ED55F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9C5700"/>
                <w:sz w:val="18"/>
                <w:szCs w:val="18"/>
                <w:lang w:val="es-CO" w:eastAsia="es-CO"/>
              </w:rPr>
            </w:pPr>
            <w:r w:rsidRPr="000079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PRESTADORES</w:t>
            </w:r>
          </w:p>
        </w:tc>
        <w:tc>
          <w:tcPr>
            <w:tcW w:w="1484" w:type="dxa"/>
            <w:gridSpan w:val="2"/>
            <w:shd w:val="clear" w:color="000000" w:fill="FFFFFF"/>
            <w:noWrap/>
            <w:vAlign w:val="center"/>
            <w:hideMark/>
          </w:tcPr>
          <w:p w14:paraId="175C6A2B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079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Año 2024</w:t>
            </w:r>
          </w:p>
          <w:p w14:paraId="4F61A021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2294" w:type="dxa"/>
            <w:gridSpan w:val="3"/>
            <w:shd w:val="clear" w:color="000000" w:fill="FFFFFF"/>
            <w:noWrap/>
            <w:vAlign w:val="center"/>
            <w:hideMark/>
          </w:tcPr>
          <w:p w14:paraId="6F48E7C7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079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Año 2025</w:t>
            </w:r>
          </w:p>
          <w:p w14:paraId="5AF0BCAB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798" w:type="dxa"/>
            <w:vMerge w:val="restart"/>
            <w:shd w:val="clear" w:color="000000" w:fill="FFFFFF"/>
            <w:noWrap/>
            <w:vAlign w:val="center"/>
            <w:hideMark/>
          </w:tcPr>
          <w:p w14:paraId="6082E43B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079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Total</w:t>
            </w:r>
          </w:p>
          <w:p w14:paraId="187A8BCB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A51DC2" w:rsidRPr="00007991" w14:paraId="554A5516" w14:textId="77777777" w:rsidTr="00ED4A7A">
        <w:trPr>
          <w:trHeight w:val="300"/>
          <w:tblHeader/>
        </w:trPr>
        <w:tc>
          <w:tcPr>
            <w:tcW w:w="4252" w:type="dxa"/>
            <w:vMerge/>
            <w:shd w:val="clear" w:color="000000" w:fill="FFFFFF"/>
            <w:noWrap/>
            <w:vAlign w:val="center"/>
            <w:hideMark/>
          </w:tcPr>
          <w:p w14:paraId="4993DB52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798" w:type="dxa"/>
            <w:shd w:val="clear" w:color="000000" w:fill="FFFFFF"/>
            <w:noWrap/>
            <w:vAlign w:val="center"/>
            <w:hideMark/>
          </w:tcPr>
          <w:p w14:paraId="4851C79C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079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nov</w:t>
            </w:r>
          </w:p>
        </w:tc>
        <w:tc>
          <w:tcPr>
            <w:tcW w:w="686" w:type="dxa"/>
            <w:shd w:val="clear" w:color="000000" w:fill="FFFFFF"/>
            <w:noWrap/>
            <w:vAlign w:val="center"/>
            <w:hideMark/>
          </w:tcPr>
          <w:p w14:paraId="046377F4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079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dic</w:t>
            </w:r>
          </w:p>
        </w:tc>
        <w:tc>
          <w:tcPr>
            <w:tcW w:w="698" w:type="dxa"/>
            <w:shd w:val="clear" w:color="000000" w:fill="FFFFFF"/>
            <w:noWrap/>
            <w:vAlign w:val="center"/>
            <w:hideMark/>
          </w:tcPr>
          <w:p w14:paraId="76FD7BAB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079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ene</w:t>
            </w:r>
          </w:p>
        </w:tc>
        <w:tc>
          <w:tcPr>
            <w:tcW w:w="798" w:type="dxa"/>
            <w:shd w:val="clear" w:color="000000" w:fill="FFFFFF"/>
            <w:noWrap/>
            <w:vAlign w:val="center"/>
            <w:hideMark/>
          </w:tcPr>
          <w:p w14:paraId="757E3984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079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feb</w:t>
            </w:r>
          </w:p>
        </w:tc>
        <w:tc>
          <w:tcPr>
            <w:tcW w:w="798" w:type="dxa"/>
            <w:shd w:val="clear" w:color="000000" w:fill="FFFFFF"/>
            <w:noWrap/>
            <w:vAlign w:val="center"/>
            <w:hideMark/>
          </w:tcPr>
          <w:p w14:paraId="06717A76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079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mar</w:t>
            </w:r>
          </w:p>
        </w:tc>
        <w:tc>
          <w:tcPr>
            <w:tcW w:w="798" w:type="dxa"/>
            <w:vMerge/>
            <w:shd w:val="clear" w:color="000000" w:fill="FFFFFF"/>
            <w:noWrap/>
            <w:vAlign w:val="center"/>
            <w:hideMark/>
          </w:tcPr>
          <w:p w14:paraId="4A73BDEF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A51DC2" w:rsidRPr="00007991" w14:paraId="435FE092" w14:textId="77777777" w:rsidTr="00ED4A7A">
        <w:trPr>
          <w:trHeight w:val="300"/>
          <w:tblHeader/>
        </w:trPr>
        <w:tc>
          <w:tcPr>
            <w:tcW w:w="4252" w:type="dxa"/>
            <w:shd w:val="clear" w:color="000000" w:fill="FFFFFF"/>
            <w:noWrap/>
            <w:vAlign w:val="center"/>
            <w:hideMark/>
          </w:tcPr>
          <w:p w14:paraId="1FAF0FFA" w14:textId="16993892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Hospital Universitario Clínica San Rafael </w:t>
            </w: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1A049B47" w14:textId="7F8A65E6" w:rsidR="00A51DC2" w:rsidRPr="00007991" w:rsidRDefault="00390ABB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187%</w:t>
            </w:r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3DC5A1C6" w14:textId="26C5DC47" w:rsidR="00A51DC2" w:rsidRPr="00007991" w:rsidRDefault="00390ABB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177%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61DBFE7F" w14:textId="480BD631" w:rsidR="00A51DC2" w:rsidRPr="00007991" w:rsidRDefault="009600F4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157%</w:t>
            </w: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4FBF389C" w14:textId="6DF03A32" w:rsidR="00A51DC2" w:rsidRPr="00007991" w:rsidRDefault="009600F4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207%</w:t>
            </w: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75EB96C7" w14:textId="6EECF640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211%</w:t>
            </w: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6A0455E3" w14:textId="23924677" w:rsidR="00A51DC2" w:rsidRPr="00007991" w:rsidRDefault="00390ABB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188%</w:t>
            </w:r>
          </w:p>
        </w:tc>
      </w:tr>
    </w:tbl>
    <w:p w14:paraId="50372B96" w14:textId="6DB3C100" w:rsidR="00A51DC2" w:rsidRPr="00A51DC2" w:rsidRDefault="00A51DC2" w:rsidP="00A51DC2">
      <w:pPr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51DC2">
        <w:rPr>
          <w:rFonts w:ascii="Arial" w:hAnsi="Arial" w:cs="Arial"/>
          <w:sz w:val="16"/>
          <w:szCs w:val="16"/>
        </w:rPr>
        <w:t>Fuente: Elaboración a partir de matriz de gestión. Equipo GAMA. Marzo 2025</w:t>
      </w:r>
    </w:p>
    <w:p w14:paraId="3287A58F" w14:textId="45FF380C" w:rsidR="00A51DC2" w:rsidRDefault="00A51DC2" w:rsidP="00A51DC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B160DEE" w14:textId="4821610A" w:rsidR="00390ABB" w:rsidRDefault="00390ABB" w:rsidP="00A51DC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394A6F5" w14:textId="5BB99A95" w:rsidR="00390ABB" w:rsidRDefault="00390ABB" w:rsidP="00A51DC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A6C2CDA" w14:textId="2301A886" w:rsidR="000E309E" w:rsidRDefault="000E309E" w:rsidP="00A51DC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1AAE3F1" w14:textId="63F73E0F" w:rsidR="000E309E" w:rsidRDefault="000E309E" w:rsidP="00A51DC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F14B76B" w14:textId="78CD41E9" w:rsidR="000E309E" w:rsidRDefault="000E309E" w:rsidP="00A51DC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56670C4" w14:textId="77777777" w:rsidR="000E309E" w:rsidRDefault="000E309E" w:rsidP="00A51DC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9EA8A02" w14:textId="77777777" w:rsidR="00A51DC2" w:rsidRDefault="00A51DC2" w:rsidP="00A51DC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F8FFE91" w14:textId="77777777" w:rsidR="00A51DC2" w:rsidRPr="004031A9" w:rsidRDefault="00A51DC2" w:rsidP="00A51DC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031A9">
        <w:rPr>
          <w:rFonts w:ascii="Arial" w:hAnsi="Arial" w:cs="Arial"/>
          <w:b/>
        </w:rPr>
        <w:t>Ocupación Pediátrica</w:t>
      </w:r>
      <w:r w:rsidRPr="004031A9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W w:w="8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77"/>
        <w:gridCol w:w="782"/>
        <w:gridCol w:w="675"/>
        <w:gridCol w:w="685"/>
        <w:gridCol w:w="782"/>
        <w:gridCol w:w="786"/>
        <w:gridCol w:w="782"/>
      </w:tblGrid>
      <w:tr w:rsidR="00A51DC2" w:rsidRPr="00007991" w14:paraId="5E485852" w14:textId="77777777" w:rsidTr="000E309E">
        <w:trPr>
          <w:trHeight w:val="435"/>
          <w:tblHeader/>
        </w:trPr>
        <w:tc>
          <w:tcPr>
            <w:tcW w:w="4177" w:type="dxa"/>
            <w:vMerge w:val="restart"/>
            <w:shd w:val="clear" w:color="000000" w:fill="FFFFFF"/>
            <w:vAlign w:val="center"/>
            <w:hideMark/>
          </w:tcPr>
          <w:p w14:paraId="02260228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9C5700"/>
                <w:sz w:val="18"/>
                <w:szCs w:val="18"/>
                <w:lang w:val="es-CO" w:eastAsia="es-CO"/>
              </w:rPr>
            </w:pPr>
            <w:r w:rsidRPr="000079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PRESTADORES</w:t>
            </w:r>
          </w:p>
        </w:tc>
        <w:tc>
          <w:tcPr>
            <w:tcW w:w="1457" w:type="dxa"/>
            <w:gridSpan w:val="2"/>
            <w:shd w:val="clear" w:color="000000" w:fill="FFFFFF"/>
            <w:noWrap/>
            <w:vAlign w:val="center"/>
            <w:hideMark/>
          </w:tcPr>
          <w:p w14:paraId="072D6737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079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Año 2024</w:t>
            </w:r>
          </w:p>
          <w:p w14:paraId="73DD62AD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2253" w:type="dxa"/>
            <w:gridSpan w:val="3"/>
            <w:shd w:val="clear" w:color="000000" w:fill="FFFFFF"/>
            <w:noWrap/>
            <w:vAlign w:val="center"/>
            <w:hideMark/>
          </w:tcPr>
          <w:p w14:paraId="0F1F7270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079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Año 2025</w:t>
            </w:r>
          </w:p>
          <w:p w14:paraId="4475F719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782" w:type="dxa"/>
            <w:vMerge w:val="restart"/>
            <w:shd w:val="clear" w:color="000000" w:fill="FFFFFF"/>
            <w:noWrap/>
            <w:vAlign w:val="center"/>
            <w:hideMark/>
          </w:tcPr>
          <w:p w14:paraId="7C954DB3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079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Total</w:t>
            </w:r>
          </w:p>
          <w:p w14:paraId="06D2C125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90ABB" w:rsidRPr="00007991" w14:paraId="7BEF98B3" w14:textId="77777777" w:rsidTr="000E309E">
        <w:trPr>
          <w:trHeight w:val="310"/>
          <w:tblHeader/>
        </w:trPr>
        <w:tc>
          <w:tcPr>
            <w:tcW w:w="4177" w:type="dxa"/>
            <w:vMerge/>
            <w:shd w:val="clear" w:color="000000" w:fill="FFFFFF"/>
            <w:noWrap/>
            <w:vAlign w:val="center"/>
            <w:hideMark/>
          </w:tcPr>
          <w:p w14:paraId="18711E41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center"/>
            <w:hideMark/>
          </w:tcPr>
          <w:p w14:paraId="46A25CA2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079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nov</w:t>
            </w:r>
          </w:p>
        </w:tc>
        <w:tc>
          <w:tcPr>
            <w:tcW w:w="675" w:type="dxa"/>
            <w:shd w:val="clear" w:color="000000" w:fill="FFFFFF"/>
            <w:noWrap/>
            <w:vAlign w:val="center"/>
            <w:hideMark/>
          </w:tcPr>
          <w:p w14:paraId="5DC89575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079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Dic</w:t>
            </w:r>
          </w:p>
        </w:tc>
        <w:tc>
          <w:tcPr>
            <w:tcW w:w="685" w:type="dxa"/>
            <w:shd w:val="clear" w:color="000000" w:fill="FFFFFF"/>
            <w:noWrap/>
            <w:vAlign w:val="center"/>
            <w:hideMark/>
          </w:tcPr>
          <w:p w14:paraId="731A84D7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079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ene</w:t>
            </w:r>
          </w:p>
        </w:tc>
        <w:tc>
          <w:tcPr>
            <w:tcW w:w="782" w:type="dxa"/>
            <w:shd w:val="clear" w:color="000000" w:fill="FFFFFF"/>
            <w:noWrap/>
            <w:vAlign w:val="center"/>
            <w:hideMark/>
          </w:tcPr>
          <w:p w14:paraId="5B67160E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079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feb</w:t>
            </w:r>
          </w:p>
        </w:tc>
        <w:tc>
          <w:tcPr>
            <w:tcW w:w="786" w:type="dxa"/>
            <w:shd w:val="clear" w:color="000000" w:fill="FFFFFF"/>
            <w:noWrap/>
            <w:vAlign w:val="center"/>
            <w:hideMark/>
          </w:tcPr>
          <w:p w14:paraId="1CC5EAEF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0079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mar</w:t>
            </w:r>
          </w:p>
        </w:tc>
        <w:tc>
          <w:tcPr>
            <w:tcW w:w="782" w:type="dxa"/>
            <w:vMerge/>
            <w:shd w:val="clear" w:color="000000" w:fill="FFFFFF"/>
            <w:noWrap/>
            <w:vAlign w:val="center"/>
            <w:hideMark/>
          </w:tcPr>
          <w:p w14:paraId="6FD2901D" w14:textId="7777777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390ABB" w:rsidRPr="00007991" w14:paraId="0B54AFA2" w14:textId="77777777" w:rsidTr="000E309E">
        <w:trPr>
          <w:trHeight w:val="310"/>
          <w:tblHeader/>
        </w:trPr>
        <w:tc>
          <w:tcPr>
            <w:tcW w:w="4177" w:type="dxa"/>
            <w:shd w:val="clear" w:color="000000" w:fill="FFFFFF"/>
            <w:noWrap/>
            <w:vAlign w:val="center"/>
            <w:hideMark/>
          </w:tcPr>
          <w:p w14:paraId="31C20815" w14:textId="405292D6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Hospital Universitario Clínica San Rafael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7BBCED9C" w14:textId="33EBA31C" w:rsidR="00A51DC2" w:rsidRPr="00007991" w:rsidRDefault="00390ABB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62%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19F46DAA" w14:textId="40E2D280" w:rsidR="00A51DC2" w:rsidRPr="00007991" w:rsidRDefault="00390ABB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62%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511FCD20" w14:textId="7D87C52E" w:rsidR="00A51DC2" w:rsidRPr="00007991" w:rsidRDefault="009600F4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44%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4C0D3192" w14:textId="1EE7BB4F" w:rsidR="00A51DC2" w:rsidRPr="00007991" w:rsidRDefault="009600F4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173%</w:t>
            </w:r>
          </w:p>
        </w:tc>
        <w:tc>
          <w:tcPr>
            <w:tcW w:w="786" w:type="dxa"/>
            <w:shd w:val="clear" w:color="auto" w:fill="auto"/>
            <w:noWrap/>
            <w:vAlign w:val="center"/>
          </w:tcPr>
          <w:p w14:paraId="31338BED" w14:textId="22E340C7" w:rsidR="00A51DC2" w:rsidRPr="00007991" w:rsidRDefault="00A51DC2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118%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218BCD6E" w14:textId="13F31E77" w:rsidR="00A51DC2" w:rsidRPr="00007991" w:rsidRDefault="00390ABB" w:rsidP="00ED4A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92%</w:t>
            </w:r>
          </w:p>
        </w:tc>
      </w:tr>
    </w:tbl>
    <w:p w14:paraId="22CF3B09" w14:textId="77777777" w:rsidR="00A51DC2" w:rsidRPr="00A51DC2" w:rsidRDefault="00A51DC2" w:rsidP="00A51DC2">
      <w:pPr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51DC2">
        <w:rPr>
          <w:rFonts w:ascii="Arial" w:hAnsi="Arial" w:cs="Arial"/>
          <w:sz w:val="16"/>
          <w:szCs w:val="16"/>
        </w:rPr>
        <w:t>Fuente: Elaboración a partir de matriz de gestión. Equipo GAMA. Marzo 2025</w:t>
      </w:r>
    </w:p>
    <w:p w14:paraId="624986C4" w14:textId="77777777" w:rsidR="00A51DC2" w:rsidRDefault="00A51DC2" w:rsidP="00A51DC2">
      <w:pPr>
        <w:spacing w:after="0" w:line="240" w:lineRule="auto"/>
        <w:jc w:val="both"/>
        <w:rPr>
          <w:rFonts w:ascii="Arial" w:hAnsi="Arial" w:cs="Arial"/>
        </w:rPr>
      </w:pPr>
    </w:p>
    <w:p w14:paraId="719F3250" w14:textId="29462249" w:rsidR="00A51DC2" w:rsidRPr="00ED1FB6" w:rsidRDefault="00A51DC2" w:rsidP="00A51DC2">
      <w:pPr>
        <w:spacing w:after="0" w:line="240" w:lineRule="auto"/>
        <w:jc w:val="both"/>
        <w:rPr>
          <w:rFonts w:ascii="Arial" w:hAnsi="Arial" w:cs="Arial"/>
        </w:rPr>
      </w:pPr>
      <w:r w:rsidRPr="00ED1FB6">
        <w:rPr>
          <w:rFonts w:ascii="Arial" w:hAnsi="Arial" w:cs="Arial"/>
        </w:rPr>
        <w:t>La IPS, cuenta c</w:t>
      </w:r>
      <w:r>
        <w:rPr>
          <w:rFonts w:ascii="Arial" w:hAnsi="Arial" w:cs="Arial"/>
        </w:rPr>
        <w:t>on una capacidad instalada de 80</w:t>
      </w:r>
      <w:r w:rsidRPr="00ED1FB6">
        <w:rPr>
          <w:rFonts w:ascii="Arial" w:hAnsi="Arial" w:cs="Arial"/>
        </w:rPr>
        <w:t xml:space="preserve"> camillas para adultos y 1</w:t>
      </w:r>
      <w:r>
        <w:rPr>
          <w:rFonts w:ascii="Arial" w:hAnsi="Arial" w:cs="Arial"/>
        </w:rPr>
        <w:t>2</w:t>
      </w:r>
      <w:r w:rsidRPr="00ED1FB6">
        <w:rPr>
          <w:rFonts w:ascii="Arial" w:hAnsi="Arial" w:cs="Arial"/>
        </w:rPr>
        <w:t xml:space="preserve"> camilla pediátrica</w:t>
      </w:r>
      <w:r w:rsidR="00390ABB">
        <w:rPr>
          <w:rFonts w:ascii="Arial" w:hAnsi="Arial" w:cs="Arial"/>
        </w:rPr>
        <w:t>s</w:t>
      </w:r>
      <w:r w:rsidRPr="00ED1FB6">
        <w:rPr>
          <w:rFonts w:ascii="Arial" w:hAnsi="Arial" w:cs="Arial"/>
        </w:rPr>
        <w:t>, durante el recorrido por el servicio de Urgencias se evidencia se evidencia un mayor volumen de ca</w:t>
      </w:r>
      <w:r w:rsidR="00390ABB">
        <w:rPr>
          <w:rFonts w:ascii="Arial" w:hAnsi="Arial" w:cs="Arial"/>
        </w:rPr>
        <w:t xml:space="preserve">millas y sillas en el servicio, donde se trabaja con la oficina de calidad en la actualización de documento de sobreocupación del servicio de Urgencias </w:t>
      </w:r>
    </w:p>
    <w:p w14:paraId="4D9268F0" w14:textId="1849002C" w:rsidR="00F17C33" w:rsidRPr="00513190" w:rsidRDefault="006B7DE4" w:rsidP="006037CF">
      <w:pPr>
        <w:pStyle w:val="Ttulo1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513190">
        <w:rPr>
          <w:rFonts w:ascii="Arial" w:hAnsi="Arial" w:cs="Arial"/>
          <w:b/>
          <w:sz w:val="22"/>
          <w:szCs w:val="22"/>
        </w:rPr>
        <w:t>Análisis de resultados de la estrategia</w:t>
      </w:r>
    </w:p>
    <w:p w14:paraId="79894CCA" w14:textId="77777777" w:rsidR="00390ABB" w:rsidRDefault="00390ABB" w:rsidP="0026659D">
      <w:pPr>
        <w:jc w:val="both"/>
        <w:rPr>
          <w:rFonts w:ascii="Arial" w:hAnsi="Arial" w:cs="Arial"/>
        </w:rPr>
      </w:pPr>
    </w:p>
    <w:p w14:paraId="58E594A2" w14:textId="202B4EB2" w:rsidR="0026659D" w:rsidRPr="00AB1DC4" w:rsidRDefault="0026659D" w:rsidP="002665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Durante el periodo del 8 de noviembre al 30 de marzo del 2025</w:t>
      </w:r>
      <w:r w:rsidRPr="00AB1DC4">
        <w:rPr>
          <w:rFonts w:ascii="Arial" w:hAnsi="Arial" w:cs="Arial"/>
        </w:rPr>
        <w:t>, se realizaron visita</w:t>
      </w:r>
      <w:r>
        <w:rPr>
          <w:rFonts w:ascii="Arial" w:hAnsi="Arial" w:cs="Arial"/>
        </w:rPr>
        <w:t>s</w:t>
      </w:r>
      <w:r w:rsidR="00390ABB">
        <w:rPr>
          <w:rFonts w:ascii="Arial" w:hAnsi="Arial" w:cs="Arial"/>
        </w:rPr>
        <w:t xml:space="preserve"> a la IPS y se identificaron 441</w:t>
      </w:r>
      <w:r w:rsidRPr="00AB1DC4">
        <w:rPr>
          <w:rFonts w:ascii="Arial" w:hAnsi="Arial" w:cs="Arial"/>
        </w:rPr>
        <w:t xml:space="preserve"> casos de remisiones. Se gestionaron estos casos mediante correo electrónico y llamadas telefónicas a las distintas EAPB. Sin embargo, en el seguimiento</w:t>
      </w:r>
      <w:r w:rsidR="00390ABB">
        <w:rPr>
          <w:rFonts w:ascii="Arial" w:hAnsi="Arial" w:cs="Arial"/>
        </w:rPr>
        <w:t xml:space="preserve"> de los casos, se evidenció que</w:t>
      </w:r>
      <w:r w:rsidRPr="00AB1DC4">
        <w:rPr>
          <w:rFonts w:ascii="Arial" w:hAnsi="Arial" w:cs="Arial"/>
        </w:rPr>
        <w:t xml:space="preserve"> remisiones permanecen pendi</w:t>
      </w:r>
      <w:r w:rsidR="00390ABB">
        <w:rPr>
          <w:rFonts w:ascii="Arial" w:hAnsi="Arial" w:cs="Arial"/>
        </w:rPr>
        <w:t>entes, lo que representa un 60</w:t>
      </w:r>
      <w:r w:rsidR="00390ABB" w:rsidRPr="00AB1DC4">
        <w:rPr>
          <w:rFonts w:ascii="Arial" w:hAnsi="Arial" w:cs="Arial"/>
        </w:rPr>
        <w:t xml:space="preserve">% </w:t>
      </w:r>
      <w:r w:rsidR="00390ABB">
        <w:rPr>
          <w:rFonts w:ascii="Arial" w:hAnsi="Arial" w:cs="Arial"/>
        </w:rPr>
        <w:t xml:space="preserve">de efectividad del </w:t>
      </w:r>
      <w:r w:rsidR="00390ABB" w:rsidRPr="00AB1DC4">
        <w:rPr>
          <w:rFonts w:ascii="Arial" w:hAnsi="Arial" w:cs="Arial"/>
        </w:rPr>
        <w:t>total</w:t>
      </w:r>
      <w:r w:rsidRPr="00AB1DC4">
        <w:rPr>
          <w:rFonts w:ascii="Arial" w:hAnsi="Arial" w:cs="Arial"/>
        </w:rPr>
        <w:t xml:space="preserve"> de casos gestionados.</w:t>
      </w:r>
    </w:p>
    <w:p w14:paraId="7A83E8E2" w14:textId="77777777" w:rsidR="0026659D" w:rsidRPr="00AB1DC4" w:rsidRDefault="0026659D" w:rsidP="0026659D">
      <w:pPr>
        <w:jc w:val="both"/>
        <w:rPr>
          <w:rFonts w:ascii="Arial" w:hAnsi="Arial" w:cs="Arial"/>
          <w:b/>
        </w:rPr>
      </w:pPr>
      <w:r w:rsidRPr="00AB1DC4">
        <w:rPr>
          <w:rFonts w:ascii="Arial" w:hAnsi="Arial" w:cs="Arial"/>
          <w:b/>
        </w:rPr>
        <w:t>Análisis de la Gestión</w:t>
      </w:r>
    </w:p>
    <w:p w14:paraId="318A24BB" w14:textId="521ABCFF" w:rsidR="0026659D" w:rsidRPr="00AB1DC4" w:rsidRDefault="0026659D" w:rsidP="0026659D">
      <w:pPr>
        <w:jc w:val="both"/>
        <w:rPr>
          <w:rFonts w:ascii="Arial" w:hAnsi="Arial" w:cs="Arial"/>
        </w:rPr>
      </w:pPr>
      <w:r w:rsidRPr="00AB1DC4">
        <w:rPr>
          <w:rFonts w:ascii="Arial" w:hAnsi="Arial" w:cs="Arial"/>
        </w:rPr>
        <w:t>1. Gestión</w:t>
      </w:r>
      <w:r>
        <w:rPr>
          <w:rFonts w:ascii="Arial" w:hAnsi="Arial" w:cs="Arial"/>
        </w:rPr>
        <w:t xml:space="preserve"> </w:t>
      </w:r>
      <w:r w:rsidR="00390ABB">
        <w:rPr>
          <w:rFonts w:ascii="Arial" w:hAnsi="Arial" w:cs="Arial"/>
        </w:rPr>
        <w:t xml:space="preserve">de Remisiones: Se realizaron </w:t>
      </w:r>
      <w:r w:rsidR="00390ABB" w:rsidRPr="00AB1DC4">
        <w:rPr>
          <w:rFonts w:ascii="Arial" w:hAnsi="Arial" w:cs="Arial"/>
        </w:rPr>
        <w:t>gestiones</w:t>
      </w:r>
      <w:r w:rsidRPr="00AB1DC4">
        <w:rPr>
          <w:rFonts w:ascii="Arial" w:hAnsi="Arial" w:cs="Arial"/>
        </w:rPr>
        <w:t xml:space="preserve"> de re</w:t>
      </w:r>
      <w:r>
        <w:rPr>
          <w:rFonts w:ascii="Arial" w:hAnsi="Arial" w:cs="Arial"/>
        </w:rPr>
        <w:t>mi</w:t>
      </w:r>
      <w:r w:rsidR="000E309E">
        <w:rPr>
          <w:rFonts w:ascii="Arial" w:hAnsi="Arial" w:cs="Arial"/>
        </w:rPr>
        <w:t>siones durante el periodo del 8 de noviembre al 30 de marzo del 2025, donde los casos con menor número de casos se evidencian en el mes de diciembre del 2024 y enero del 2025 y un mayor número de casos para el mes de marzo, teniendo en cuenta que para este mes se adelantaron gestiones en los tramites de los servicios Hospitalarios</w:t>
      </w:r>
      <w:r w:rsidRPr="00AB1DC4">
        <w:rPr>
          <w:rFonts w:ascii="Arial" w:hAnsi="Arial" w:cs="Arial"/>
        </w:rPr>
        <w:t>.</w:t>
      </w:r>
    </w:p>
    <w:p w14:paraId="1BAFF2E0" w14:textId="77777777" w:rsidR="0026659D" w:rsidRPr="00AB1DC4" w:rsidRDefault="0026659D" w:rsidP="0026659D">
      <w:pPr>
        <w:jc w:val="both"/>
        <w:rPr>
          <w:rFonts w:ascii="Arial" w:hAnsi="Arial" w:cs="Arial"/>
        </w:rPr>
      </w:pPr>
      <w:r w:rsidRPr="00AB1DC4">
        <w:rPr>
          <w:rFonts w:ascii="Arial" w:hAnsi="Arial" w:cs="Arial"/>
        </w:rPr>
        <w:t>2. Métodos de Gestión: Se utilizaron correo electrónico y llamadas telefónicas para gestionar los casos de remisiones. Sin e</w:t>
      </w:r>
      <w:r>
        <w:rPr>
          <w:rFonts w:ascii="Arial" w:hAnsi="Arial" w:cs="Arial"/>
        </w:rPr>
        <w:t xml:space="preserve">mbargo, se evidenció que las </w:t>
      </w:r>
      <w:r w:rsidRPr="00AB1DC4">
        <w:rPr>
          <w:rFonts w:ascii="Arial" w:hAnsi="Arial" w:cs="Arial"/>
        </w:rPr>
        <w:t>EAPB</w:t>
      </w:r>
      <w:r>
        <w:rPr>
          <w:rFonts w:ascii="Arial" w:hAnsi="Arial" w:cs="Arial"/>
        </w:rPr>
        <w:t xml:space="preserve"> Capital Salud y Nueva EPS</w:t>
      </w:r>
      <w:r w:rsidRPr="00AB1DC4">
        <w:rPr>
          <w:rFonts w:ascii="Arial" w:hAnsi="Arial" w:cs="Arial"/>
        </w:rPr>
        <w:t xml:space="preserve"> no respondieron a las gestiones realizadas.</w:t>
      </w:r>
    </w:p>
    <w:p w14:paraId="2824AB12" w14:textId="258A5093" w:rsidR="0057090F" w:rsidRDefault="0026659D" w:rsidP="0026659D">
      <w:pPr>
        <w:jc w:val="both"/>
        <w:rPr>
          <w:rFonts w:ascii="Arial" w:hAnsi="Arial" w:cs="Arial"/>
        </w:rPr>
      </w:pPr>
      <w:r w:rsidRPr="00E705CF">
        <w:rPr>
          <w:rFonts w:ascii="Arial" w:hAnsi="Arial" w:cs="Arial"/>
        </w:rPr>
        <w:lastRenderedPageBreak/>
        <w:t>3. Seguimiento de Casos: En el seguimiento d</w:t>
      </w:r>
      <w:r>
        <w:rPr>
          <w:rFonts w:ascii="Arial" w:hAnsi="Arial" w:cs="Arial"/>
        </w:rPr>
        <w:t xml:space="preserve">e los casos, se evidenció </w:t>
      </w:r>
      <w:r w:rsidR="000E309E">
        <w:rPr>
          <w:rFonts w:ascii="Arial" w:hAnsi="Arial" w:cs="Arial"/>
        </w:rPr>
        <w:t xml:space="preserve">sobre el total de los casos una efectividad del 60%, por lo que los casos con mayor resolutividad, son por egreso desde la IPS y manejo ambulatorio </w:t>
      </w:r>
    </w:p>
    <w:p w14:paraId="0D612AA6" w14:textId="00E8445C" w:rsidR="0026659D" w:rsidRPr="00E705CF" w:rsidRDefault="0026659D" w:rsidP="0026659D">
      <w:pPr>
        <w:jc w:val="both"/>
        <w:rPr>
          <w:rFonts w:ascii="Arial" w:hAnsi="Arial" w:cs="Arial"/>
        </w:rPr>
      </w:pPr>
      <w:r w:rsidRPr="00E705CF">
        <w:rPr>
          <w:rFonts w:ascii="Arial" w:hAnsi="Arial" w:cs="Arial"/>
        </w:rPr>
        <w:t>4. Ca</w:t>
      </w:r>
      <w:r w:rsidR="000E309E">
        <w:rPr>
          <w:rFonts w:ascii="Arial" w:hAnsi="Arial" w:cs="Arial"/>
        </w:rPr>
        <w:t>sos Críticos: Se identificaron 15</w:t>
      </w:r>
      <w:r w:rsidRPr="00E705CF">
        <w:rPr>
          <w:rFonts w:ascii="Arial" w:hAnsi="Arial" w:cs="Arial"/>
        </w:rPr>
        <w:t xml:space="preserve"> casos críticos que requirieron gestión directa en las vis</w:t>
      </w:r>
      <w:r>
        <w:rPr>
          <w:rFonts w:ascii="Arial" w:hAnsi="Arial" w:cs="Arial"/>
        </w:rPr>
        <w:t>itas de seguimiento a las EAPB.</w:t>
      </w:r>
    </w:p>
    <w:p w14:paraId="63ADEC08" w14:textId="77777777" w:rsidR="0026659D" w:rsidRPr="00AB1DC4" w:rsidRDefault="0026659D" w:rsidP="0026659D">
      <w:pPr>
        <w:jc w:val="both"/>
        <w:rPr>
          <w:rFonts w:ascii="Arial" w:hAnsi="Arial" w:cs="Arial"/>
          <w:b/>
        </w:rPr>
      </w:pPr>
      <w:r w:rsidRPr="00AB1DC4">
        <w:rPr>
          <w:rFonts w:ascii="Arial" w:hAnsi="Arial" w:cs="Arial"/>
          <w:b/>
        </w:rPr>
        <w:t>Conclusiones y Recomendaciones</w:t>
      </w:r>
    </w:p>
    <w:p w14:paraId="2244E4EC" w14:textId="77777777" w:rsidR="0026659D" w:rsidRPr="00AB1DC4" w:rsidRDefault="0026659D" w:rsidP="0026659D">
      <w:pPr>
        <w:jc w:val="both"/>
        <w:rPr>
          <w:rFonts w:ascii="Arial" w:hAnsi="Arial" w:cs="Arial"/>
        </w:rPr>
      </w:pPr>
      <w:r w:rsidRPr="00AB1DC4">
        <w:rPr>
          <w:rFonts w:ascii="Arial" w:hAnsi="Arial" w:cs="Arial"/>
        </w:rPr>
        <w:t xml:space="preserve">1. </w:t>
      </w:r>
      <w:r w:rsidRPr="00AB1DC4">
        <w:rPr>
          <w:rFonts w:ascii="Arial" w:hAnsi="Arial" w:cs="Arial"/>
          <w:b/>
        </w:rPr>
        <w:t>Mejora en la Comunicación</w:t>
      </w:r>
      <w:r w:rsidRPr="00AB1DC4">
        <w:rPr>
          <w:rFonts w:ascii="Arial" w:hAnsi="Arial" w:cs="Arial"/>
        </w:rPr>
        <w:t>: Es necesario mejorar la comunicación con las EAPB para garantizar que las gestiones de remisiones sean atendidas de manera oportuna.</w:t>
      </w:r>
    </w:p>
    <w:p w14:paraId="480EE86F" w14:textId="77777777" w:rsidR="0026659D" w:rsidRPr="00AB1DC4" w:rsidRDefault="0026659D" w:rsidP="0026659D">
      <w:pPr>
        <w:jc w:val="both"/>
        <w:rPr>
          <w:rFonts w:ascii="Arial" w:hAnsi="Arial" w:cs="Arial"/>
        </w:rPr>
      </w:pPr>
      <w:r w:rsidRPr="00AB1DC4">
        <w:rPr>
          <w:rFonts w:ascii="Arial" w:hAnsi="Arial" w:cs="Arial"/>
        </w:rPr>
        <w:t xml:space="preserve">2. </w:t>
      </w:r>
      <w:r w:rsidRPr="00AB1DC4">
        <w:rPr>
          <w:rFonts w:ascii="Arial" w:hAnsi="Arial" w:cs="Arial"/>
          <w:b/>
        </w:rPr>
        <w:t>Seguimiento Permanente:</w:t>
      </w:r>
      <w:r w:rsidRPr="00AB1DC4">
        <w:rPr>
          <w:rFonts w:ascii="Arial" w:hAnsi="Arial" w:cs="Arial"/>
        </w:rPr>
        <w:t xml:space="preserve"> Es importante realizar un seguimiento permanente de los casos de remisiones para garantizar que sean resueltos de manera efectiva.</w:t>
      </w:r>
    </w:p>
    <w:p w14:paraId="7EF7B4B9" w14:textId="77777777" w:rsidR="0026659D" w:rsidRPr="00AB1DC4" w:rsidRDefault="0026659D" w:rsidP="0026659D">
      <w:pPr>
        <w:jc w:val="both"/>
        <w:rPr>
          <w:rFonts w:ascii="Arial" w:hAnsi="Arial" w:cs="Arial"/>
        </w:rPr>
      </w:pPr>
      <w:r w:rsidRPr="00AB1DC4">
        <w:rPr>
          <w:rFonts w:ascii="Arial" w:hAnsi="Arial" w:cs="Arial"/>
        </w:rPr>
        <w:t xml:space="preserve">3. </w:t>
      </w:r>
      <w:r w:rsidRPr="00AB1DC4">
        <w:rPr>
          <w:rFonts w:ascii="Arial" w:hAnsi="Arial" w:cs="Arial"/>
          <w:b/>
        </w:rPr>
        <w:t>Gestión Directa:</w:t>
      </w:r>
      <w:r w:rsidRPr="00AB1DC4">
        <w:rPr>
          <w:rFonts w:ascii="Arial" w:hAnsi="Arial" w:cs="Arial"/>
        </w:rPr>
        <w:t xml:space="preserve"> En casos críticos, es necesario realizar una gestión directa en las visitas de seguimiento a las EAPB para garantizar que se resuelvan de manera oportuna.</w:t>
      </w:r>
    </w:p>
    <w:p w14:paraId="7FDD2B91" w14:textId="77777777" w:rsidR="0026659D" w:rsidRDefault="0026659D" w:rsidP="0026659D">
      <w:pPr>
        <w:jc w:val="both"/>
        <w:rPr>
          <w:rFonts w:ascii="Arial" w:hAnsi="Arial" w:cs="Arial"/>
          <w:color w:val="FF0000"/>
        </w:rPr>
      </w:pPr>
      <w:r w:rsidRPr="00AB1DC4">
        <w:rPr>
          <w:rFonts w:ascii="Arial" w:hAnsi="Arial" w:cs="Arial"/>
        </w:rPr>
        <w:t xml:space="preserve">4. </w:t>
      </w:r>
      <w:r w:rsidRPr="000E309E">
        <w:rPr>
          <w:rFonts w:ascii="Arial" w:hAnsi="Arial" w:cs="Arial"/>
          <w:b/>
        </w:rPr>
        <w:t>Análisis de Datos:</w:t>
      </w:r>
      <w:r w:rsidRPr="00AB1DC4">
        <w:rPr>
          <w:rFonts w:ascii="Arial" w:hAnsi="Arial" w:cs="Arial"/>
        </w:rPr>
        <w:t xml:space="preserve"> Es importante realizar un análisis de datos para identificar patrones y tendencias en la gestión de remisiones y mejorar la eficiencia del proceso</w:t>
      </w:r>
      <w:r w:rsidRPr="00AB1DC4">
        <w:rPr>
          <w:rFonts w:ascii="Arial" w:hAnsi="Arial" w:cs="Arial"/>
          <w:color w:val="FF0000"/>
        </w:rPr>
        <w:t>.</w:t>
      </w:r>
    </w:p>
    <w:p w14:paraId="720E7BF3" w14:textId="30B61177" w:rsidR="0026659D" w:rsidRDefault="0026659D" w:rsidP="006037CF">
      <w:pPr>
        <w:spacing w:line="240" w:lineRule="auto"/>
        <w:jc w:val="both"/>
        <w:rPr>
          <w:rFonts w:ascii="Arial" w:hAnsi="Arial" w:cs="Arial"/>
          <w:color w:val="FF0000"/>
        </w:rPr>
      </w:pPr>
    </w:p>
    <w:p w14:paraId="53C8C331" w14:textId="57F51B25" w:rsidR="0026659D" w:rsidRDefault="0026659D" w:rsidP="006037CF">
      <w:pPr>
        <w:spacing w:line="240" w:lineRule="auto"/>
        <w:jc w:val="both"/>
        <w:rPr>
          <w:rFonts w:ascii="Arial" w:hAnsi="Arial" w:cs="Arial"/>
          <w:color w:val="FF0000"/>
        </w:rPr>
      </w:pPr>
    </w:p>
    <w:p w14:paraId="786FFC33" w14:textId="77777777" w:rsidR="000E309E" w:rsidRDefault="000E309E" w:rsidP="000E30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Elaborado por:</w:t>
      </w:r>
    </w:p>
    <w:p w14:paraId="7B2B3213" w14:textId="77777777" w:rsidR="000E309E" w:rsidRPr="00837AB0" w:rsidRDefault="000E309E" w:rsidP="000E309E">
      <w:pPr>
        <w:spacing w:after="0"/>
        <w:jc w:val="both"/>
        <w:rPr>
          <w:rFonts w:ascii="Arial" w:hAnsi="Arial" w:cs="Arial"/>
          <w:b/>
        </w:rPr>
      </w:pPr>
      <w:r w:rsidRPr="00837AB0">
        <w:rPr>
          <w:rFonts w:ascii="Arial" w:hAnsi="Arial" w:cs="Arial"/>
          <w:b/>
        </w:rPr>
        <w:t>Elizabeth Pinilla Camacho</w:t>
      </w:r>
    </w:p>
    <w:p w14:paraId="432D055A" w14:textId="77777777" w:rsidR="000E309E" w:rsidRDefault="000E309E" w:rsidP="000E309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Profesional especializado </w:t>
      </w:r>
    </w:p>
    <w:p w14:paraId="313330AD" w14:textId="77777777" w:rsidR="000E309E" w:rsidRDefault="000E309E" w:rsidP="000E309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Dirección DUES </w:t>
      </w:r>
    </w:p>
    <w:p w14:paraId="13DF34AB" w14:textId="77777777" w:rsidR="000E309E" w:rsidRPr="00837AB0" w:rsidRDefault="000E309E" w:rsidP="000E309E">
      <w:pPr>
        <w:spacing w:after="0"/>
        <w:jc w:val="both"/>
        <w:rPr>
          <w:rFonts w:ascii="Arial" w:hAnsi="Arial" w:cs="Arial"/>
          <w:b/>
        </w:rPr>
      </w:pPr>
      <w:r w:rsidRPr="00837AB0">
        <w:rPr>
          <w:rFonts w:ascii="Arial" w:hAnsi="Arial" w:cs="Arial"/>
          <w:b/>
        </w:rPr>
        <w:t>Johanna Peña</w:t>
      </w:r>
    </w:p>
    <w:p w14:paraId="74F43319" w14:textId="77777777" w:rsidR="000E309E" w:rsidRDefault="000E309E" w:rsidP="000E309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Profesional especializado </w:t>
      </w:r>
    </w:p>
    <w:p w14:paraId="57594203" w14:textId="77777777" w:rsidR="000E309E" w:rsidRDefault="000E309E" w:rsidP="000E309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Dirección de provisión de servicios </w:t>
      </w:r>
    </w:p>
    <w:p w14:paraId="164657B7" w14:textId="77777777" w:rsidR="000E309E" w:rsidRDefault="000E309E" w:rsidP="000E309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29/04/2025</w:t>
      </w:r>
    </w:p>
    <w:p w14:paraId="1C3A3814" w14:textId="4115B28F" w:rsidR="00354CA1" w:rsidRPr="00513190" w:rsidRDefault="00354CA1" w:rsidP="000E309E">
      <w:pPr>
        <w:spacing w:line="240" w:lineRule="auto"/>
        <w:jc w:val="both"/>
        <w:rPr>
          <w:rFonts w:ascii="Arial" w:hAnsi="Arial" w:cs="Arial"/>
        </w:rPr>
      </w:pPr>
    </w:p>
    <w:sectPr w:rsidR="00354CA1" w:rsidRPr="00513190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1199F33" w16cex:dateUtc="2024-11-25T17:08:14.76Z"/>
  <w16cex:commentExtensible w16cex:durableId="1577BAEE" w16cex:dateUtc="2024-11-25T17:08:29.576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F8EE6B" w16cid:durableId="2BB4C8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54E03" w14:textId="77777777" w:rsidR="00EF5D76" w:rsidRDefault="00EF5D76">
      <w:pPr>
        <w:spacing w:after="0" w:line="240" w:lineRule="auto"/>
      </w:pPr>
      <w:r>
        <w:separator/>
      </w:r>
    </w:p>
  </w:endnote>
  <w:endnote w:type="continuationSeparator" w:id="0">
    <w:p w14:paraId="54797D81" w14:textId="77777777" w:rsidR="00EF5D76" w:rsidRDefault="00EF5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ED034" w14:textId="77777777" w:rsidR="00777783" w:rsidRDefault="00A348C1" w:rsidP="009245B3">
    <w:pPr>
      <w:pStyle w:val="Piedepgina"/>
      <w:ind w:left="-1701"/>
    </w:pPr>
    <w:r>
      <w:rPr>
        <w:noProof/>
        <w:lang w:val="es-CO" w:eastAsia="es-CO"/>
      </w:rPr>
      <w:drawing>
        <wp:inline distT="0" distB="0" distL="0" distR="0" wp14:anchorId="76F7EBAD" wp14:editId="2019557E">
          <wp:extent cx="7905096" cy="1085013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05096" cy="10850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A029C" w14:textId="77777777" w:rsidR="00EF5D76" w:rsidRDefault="00EF5D76">
      <w:pPr>
        <w:spacing w:after="0" w:line="240" w:lineRule="auto"/>
      </w:pPr>
      <w:r>
        <w:separator/>
      </w:r>
    </w:p>
  </w:footnote>
  <w:footnote w:type="continuationSeparator" w:id="0">
    <w:p w14:paraId="2AD1B4CE" w14:textId="77777777" w:rsidR="00EF5D76" w:rsidRDefault="00EF5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C42CE" w14:textId="77777777" w:rsidR="00777783" w:rsidRDefault="00A348C1" w:rsidP="00DF19FA">
    <w:pPr>
      <w:pStyle w:val="Encabezado"/>
      <w:ind w:left="-1701"/>
    </w:pPr>
    <w:r w:rsidRPr="005D76A5">
      <w:rPr>
        <w:noProof/>
        <w:lang w:val="es-CO" w:eastAsia="es-CO"/>
      </w:rPr>
      <w:drawing>
        <wp:inline distT="0" distB="0" distL="0" distR="0" wp14:anchorId="34EC70B0" wp14:editId="6DABE833">
          <wp:extent cx="7820024" cy="1269106"/>
          <wp:effectExtent l="0" t="0" r="0" b="7620"/>
          <wp:docPr id="1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20024" cy="1269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>
  <int2:observations>
    <int2:textHash int2:hashCode="Z9aF81tAGEHXno" int2:id="eN2ClzDV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C1C56"/>
    <w:multiLevelType w:val="hybridMultilevel"/>
    <w:tmpl w:val="AEB03252"/>
    <w:lvl w:ilvl="0" w:tplc="4FD4CCC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636073"/>
    <w:multiLevelType w:val="hybridMultilevel"/>
    <w:tmpl w:val="C1D484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C33"/>
    <w:rsid w:val="00007991"/>
    <w:rsid w:val="00026347"/>
    <w:rsid w:val="00031584"/>
    <w:rsid w:val="000B57EB"/>
    <w:rsid w:val="000C0BDF"/>
    <w:rsid w:val="000E309E"/>
    <w:rsid w:val="00116319"/>
    <w:rsid w:val="0012490C"/>
    <w:rsid w:val="00147BA6"/>
    <w:rsid w:val="00181AAD"/>
    <w:rsid w:val="0026659D"/>
    <w:rsid w:val="00292125"/>
    <w:rsid w:val="00335AAC"/>
    <w:rsid w:val="00353F49"/>
    <w:rsid w:val="00354CA1"/>
    <w:rsid w:val="00390ABB"/>
    <w:rsid w:val="003A2FAB"/>
    <w:rsid w:val="003E20C8"/>
    <w:rsid w:val="003E3FD2"/>
    <w:rsid w:val="00513190"/>
    <w:rsid w:val="00515C3A"/>
    <w:rsid w:val="00536019"/>
    <w:rsid w:val="00553224"/>
    <w:rsid w:val="0057090F"/>
    <w:rsid w:val="005F4B3A"/>
    <w:rsid w:val="00600C4F"/>
    <w:rsid w:val="006037CF"/>
    <w:rsid w:val="0064096D"/>
    <w:rsid w:val="006B3064"/>
    <w:rsid w:val="006B7DE4"/>
    <w:rsid w:val="006F3F01"/>
    <w:rsid w:val="00777783"/>
    <w:rsid w:val="00826704"/>
    <w:rsid w:val="00846DC6"/>
    <w:rsid w:val="008841F9"/>
    <w:rsid w:val="008C7D65"/>
    <w:rsid w:val="009600F4"/>
    <w:rsid w:val="00962479"/>
    <w:rsid w:val="0096546D"/>
    <w:rsid w:val="009677EF"/>
    <w:rsid w:val="00A108C5"/>
    <w:rsid w:val="00A348C1"/>
    <w:rsid w:val="00A51DC2"/>
    <w:rsid w:val="00A926DC"/>
    <w:rsid w:val="00A95EAD"/>
    <w:rsid w:val="00AD385A"/>
    <w:rsid w:val="00B814C5"/>
    <w:rsid w:val="00BE2705"/>
    <w:rsid w:val="00C10F09"/>
    <w:rsid w:val="00C64B9B"/>
    <w:rsid w:val="00C659C5"/>
    <w:rsid w:val="00CA0F3B"/>
    <w:rsid w:val="00CF6210"/>
    <w:rsid w:val="00D404ED"/>
    <w:rsid w:val="00D65EAF"/>
    <w:rsid w:val="00D76A74"/>
    <w:rsid w:val="00DE0585"/>
    <w:rsid w:val="00E52110"/>
    <w:rsid w:val="00EF5D76"/>
    <w:rsid w:val="00F003A1"/>
    <w:rsid w:val="00F17C33"/>
    <w:rsid w:val="00FB011D"/>
    <w:rsid w:val="00FB3F5B"/>
    <w:rsid w:val="011883CE"/>
    <w:rsid w:val="016C8BF2"/>
    <w:rsid w:val="056E00AB"/>
    <w:rsid w:val="0580E600"/>
    <w:rsid w:val="0621787C"/>
    <w:rsid w:val="063B7448"/>
    <w:rsid w:val="0676A956"/>
    <w:rsid w:val="0710C000"/>
    <w:rsid w:val="0AB94C69"/>
    <w:rsid w:val="0B05F82E"/>
    <w:rsid w:val="0B2A69DE"/>
    <w:rsid w:val="1D8DE88F"/>
    <w:rsid w:val="1DEE3865"/>
    <w:rsid w:val="1F76170A"/>
    <w:rsid w:val="1FC85E22"/>
    <w:rsid w:val="2275DEBA"/>
    <w:rsid w:val="2308819D"/>
    <w:rsid w:val="23B53382"/>
    <w:rsid w:val="2B944427"/>
    <w:rsid w:val="2E976A18"/>
    <w:rsid w:val="36632398"/>
    <w:rsid w:val="386FC339"/>
    <w:rsid w:val="39025458"/>
    <w:rsid w:val="3ACB0FF0"/>
    <w:rsid w:val="43811E29"/>
    <w:rsid w:val="4B0594B3"/>
    <w:rsid w:val="4BEBE6D5"/>
    <w:rsid w:val="506AD871"/>
    <w:rsid w:val="50FD3DC5"/>
    <w:rsid w:val="52049ABD"/>
    <w:rsid w:val="52763018"/>
    <w:rsid w:val="53F09250"/>
    <w:rsid w:val="561C76D9"/>
    <w:rsid w:val="563A4811"/>
    <w:rsid w:val="5685CAEA"/>
    <w:rsid w:val="5DC889C4"/>
    <w:rsid w:val="5FB3B764"/>
    <w:rsid w:val="61E5E2FA"/>
    <w:rsid w:val="662771E8"/>
    <w:rsid w:val="6665B1C5"/>
    <w:rsid w:val="66F71880"/>
    <w:rsid w:val="67E77BD0"/>
    <w:rsid w:val="6B1A1F86"/>
    <w:rsid w:val="6B6859BC"/>
    <w:rsid w:val="72673CED"/>
    <w:rsid w:val="72E2511E"/>
    <w:rsid w:val="74B076EB"/>
    <w:rsid w:val="7654A138"/>
    <w:rsid w:val="78A1966D"/>
    <w:rsid w:val="79235616"/>
    <w:rsid w:val="7B79439E"/>
    <w:rsid w:val="7D1F970C"/>
    <w:rsid w:val="7D639E95"/>
    <w:rsid w:val="7F28D4FF"/>
    <w:rsid w:val="7FBFD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3BC1C"/>
  <w15:chartTrackingRefBased/>
  <w15:docId w15:val="{63777479-322F-4F31-B341-2B22025B6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7C33"/>
    <w:pPr>
      <w:spacing w:after="200" w:line="276" w:lineRule="auto"/>
    </w:pPr>
    <w:rPr>
      <w:rFonts w:ascii="Calibri" w:eastAsia="Calibri" w:hAnsi="Calibri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17C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17C3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F17C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7C33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17C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7C33"/>
    <w:rPr>
      <w:rFonts w:ascii="Calibri" w:eastAsia="Calibri" w:hAnsi="Calibri" w:cs="Times New Roman"/>
      <w:lang w:val="es-ES"/>
    </w:rPr>
  </w:style>
  <w:style w:type="paragraph" w:styleId="Prrafodelista">
    <w:name w:val="List Paragraph"/>
    <w:basedOn w:val="Normal"/>
    <w:uiPriority w:val="34"/>
    <w:qFormat/>
    <w:rsid w:val="006B7DE4"/>
    <w:pPr>
      <w:ind w:left="720"/>
      <w:contextualSpacing/>
    </w:p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Calibri" w:eastAsia="Calibri" w:hAnsi="Calibri" w:cs="Times New Roman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6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4B9B"/>
    <w:rPr>
      <w:rFonts w:ascii="Segoe UI" w:eastAsia="Calibri" w:hAnsi="Segoe UI" w:cs="Segoe UI"/>
      <w:sz w:val="18"/>
      <w:szCs w:val="18"/>
      <w:lang w:val="es-ES"/>
    </w:rPr>
  </w:style>
  <w:style w:type="paragraph" w:styleId="Descripcin">
    <w:name w:val="caption"/>
    <w:basedOn w:val="Normal"/>
    <w:next w:val="Normal"/>
    <w:uiPriority w:val="35"/>
    <w:unhideWhenUsed/>
    <w:qFormat/>
    <w:rsid w:val="00C659C5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F621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F6210"/>
    <w:rPr>
      <w:rFonts w:ascii="Calibri" w:eastAsia="Calibri" w:hAnsi="Calibri" w:cs="Times New Roman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0ba307a5b0a94091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77777e385c784b50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d86468ab218afb25df15a436152aaa0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4f05ae1345caa51b16d56b8aac125b50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DE48B-5095-45A7-AB93-8D5D1AE7D7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8AF9F8-9BC5-4120-B692-E99152EF32AC}">
  <ds:schemaRefs>
    <ds:schemaRef ds:uri="http://schemas.microsoft.com/office/2006/metadata/properties"/>
    <ds:schemaRef ds:uri="http://schemas.microsoft.com/office/infopath/2007/PartnerControls"/>
    <ds:schemaRef ds:uri="e2d320f2-3842-4e4b-8567-60fb1a578f02"/>
    <ds:schemaRef ds:uri="17b55782-f91e-47f8-b8ba-62044c2198ce"/>
  </ds:schemaRefs>
</ds:datastoreItem>
</file>

<file path=customXml/itemProps3.xml><?xml version="1.0" encoding="utf-8"?>
<ds:datastoreItem xmlns:ds="http://schemas.openxmlformats.org/officeDocument/2006/customXml" ds:itemID="{7F91D508-039B-4C78-839A-CA61C00CB8EA}"/>
</file>

<file path=customXml/itemProps4.xml><?xml version="1.0" encoding="utf-8"?>
<ds:datastoreItem xmlns:ds="http://schemas.openxmlformats.org/officeDocument/2006/customXml" ds:itemID="{916AF2D8-8B7B-4DCA-B59A-B90A379F4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1303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Marcela, Sandino Perdomo</dc:creator>
  <cp:keywords/>
  <dc:description/>
  <cp:lastModifiedBy>pinillacamachoe@gmail.com</cp:lastModifiedBy>
  <cp:revision>4</cp:revision>
  <dcterms:created xsi:type="dcterms:W3CDTF">2025-05-02T14:32:00Z</dcterms:created>
  <dcterms:modified xsi:type="dcterms:W3CDTF">2025-05-02T15:41:00Z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0x010100EC364260465C3E41ABF42E909A92D44A</vt:lpwstr>
  </property>
  <property fmtid="{D5CDD505-2E9C-101B-9397-08002B2CF9AE}" pid="3" name="MediaServiceImageTags">
    <vt:lpwstr/>
  </property>
</Properties>
</file>